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14. oktobra noteikumos Nr. 607 "Antimikrobiālās rezistences ierobežošanas komisijas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4. jūlija rīkojums Nr. 414 "Antimikrobiālās rezistences ierobežošanas un piesardzīgas antibiotiku lietošanas plāns "Viena veselība" 2023.–2027. gadam"; plāna 5. rīcības virziena 5.3. pasākums un rezultatīvais rādītājs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paplašināt Antimikrobiālās rezistences ierobežošanas komisijas (turpmāk - komisija) sastāvu ar vides jomas pārstāvjiem, nodrošinot pilnvērtīgu un visaptverošu starpdisciplināru pieeju antimikrobiālās rezistences (turpmāk - AMR) ierobežošanas jautājumu risināšanā saskaņā ar principu "Viena veselība".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"Viena veselība" ir starpnozaru pieeja, kas balstās uz atziņu, ka cilvēku veselība, dzīvnieku veselība un vide ir cieši savstarpēji saistīti, un tādēļ risinājumi tādām kompleksām problēmām kā AMR ir jāīsteno koordinēti visos minētajos sektoros.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Eiropas līmeņa dokumentos ir uzsvērta nepieciešamība AMR ierobežošanas politikā pilnvērtīgi īstenot principu "Viena veselība", kas paredz koordinētu rīcību cilvēku veselības, dzīvnieku veselības un vides jomās, ņemot vērā šo jomu savstarpējo ietekmi. Tas nozīmē, ka efektīvai AMR mazināšanai ir būtiski nodrošināt ne tikai cilvēku veselības un veterinārā sektora, bet arī vides jomas iesaisti, īpaši attiecībā uz antimikrobiālo vielu un rezistento mikroorganismu nonākšanu un izplatību vidē (piemēram, ūdenī, augsnē un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Notekūdeņi, virszemes ūdeņi un augsne var kalpot kā nozīmīgs antimikrobiālo zāļu atliekvielu un rezistentu mikroorganismu izplatības avots, tādējādi veicinot rezistences attīstību un pārnesi starp vidi, dzīvniekiem un cilvēkiem. Eiropas Savienības līmenī arvien lielāka uzmanība tiek pievērsta vides nozīmei AMR izplatībā, nostiprinot to arī normatīvajā regulējumā. Eiropas Parlamenta un Padomes 2024. gada 27. novembra Direktīva (ES) 2024/3019 par komunālo notekūdeņu attīrīšanu paredz notekūdeņu monitoringu, kas ietver arī AMR rādītājus, tādējādi atzīstot vidi kā būtisku AMR izplatības un uzraudzības komponenti.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(turpmāk – plāns) ir sagatavots saskaņā ar Eiropas Komisijas izstrādāto Eiropas "Vienas veselības" pasākumu plānu antimikrobiālās rezistences ierobežošanai un plānā ir iekļauts 5. rīcības virziens "Institūciju sadarbības stiprināšana antimikrobiālās rezistences jomā", kura 5.3. apakšpunkts paredz "stiprināt antimikrobiālās rezistences ierobežošanas komisijas lomu antimikrobiālās rezistences politikas izpildes/ieviešanas pilnveidošanā un īstenošanas izvērtēšanā" ar plānoto rezultatīvo rādītāju "izstrādāts jauns antimikrobiālās rezistences ierobežošanas komisijas nolikums un papildināts sastāvs".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plāna 5. rīcības virzienu tika izstrādāti un apstiprināti Ministru kabineta 2025. gada 14. oktobra noteikumi Nr. 607 “Antimikrobiālās rezistences ierobežošanas komisijas nolikums” (turpmāk - noteikumi Nr. 607), kuros noteica komisijas sastāvu, komisijas darbības principus, funkcijas, tiesības, darba uzdevumus un iesaistīto institūciju sadarbības mehānismu, skaidri reglamentējot visu iesaistīto iestāžu atbildību AMR ierobežošanas pasākumu aktualizēšanā, ieviešanā un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noteikumiem Nr. 607 un Zemkopības ministrijas 2025. gada 30. decembra rīkojumu Nr. 212, komisija Zemkopības ministrijas vadībā uzsāka darbu 2026. gada 5.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faktoru būtisko ietekmi uz sabiedrības un dzīvnieku veselību, identificēts, ka komisijas sastāvu nepieciešams papildināt un iekļaut tajā vides jomas pārstāvjus, tādējādi veicinot koordinētu un visaptverošu komisijas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nodrošinātu pilnvērtīgu principa “Viena veselība” ieviešanu komisijas darbā un ar to saistīto jautājumu visaptverošu izvērtēšanu, tādējādi stiprinot starpnozaru sadarbību.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komisijas darbību, tika konstatēts, ka, lai nodrošinātu ar AMR ierobežošanu saistīto jautājumu visaptverošu izskatīšanu un pamatotu lēmumu pieņemšanu, vienlaikus īstenojot principu “Viena veselība”, komisijas sastāvu nepieciešams paplašināt, iekļaujot arī vides jomas pārstāvjus, tostarp vides politikas veidotājus un kompetentās iestādes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2. punkts papildina noteikumu Nr. 607 7. punktu ar jaunu 7.2.</w:t>
      </w:r>
      <w:r w:rsidR="00000000" w:rsidRPr="00000000" w:rsidDel="00000000">
        <w:rPr>
          <w:vertAlign w:val="superscript"/>
          <w:rtl w:val="0"/>
        </w:rPr>
        <w:t xml:space="preserve">1 </w:t>
      </w:r>
      <w:r w:rsidR="00000000" w:rsidRPr="00000000" w:rsidDel="00000000">
        <w:rPr>
          <w:rtl w:val="0"/>
        </w:rPr>
        <w:t xml:space="preserve">un 7.14. apakšpunktu, papildinot komisijas sastāvu ar vides jomas institūciju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darbības uzsākšanas laikā tika konstatēts, ka, lai nodrošinātu pilnvērtīgu principa “Viena veselība” ieviešanu un ar to saistīto jautājumu visaptverošu izskatīšanu, komisijas sastāvā nepieciešams iekļaut arī vides jomas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jomas iesaiste konsultāciju veidā, nepaplašinot komisijas sastāvu, nenodrošina sistemātisku un pastāvīgu vides aspektu integrāciju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noteikt visu iesaistīto nozaru (cilvēku veselības, dzīvnieku veselības, pārtikas nekaitīguma un vides) institūciju pārstāvjus, kas tiks iekļauti komisijas sastāvā. Katra nozares iesaistītā institūcija deleģēs pārstāvjus līdzdarboties AMR ierobežošanā, kā arī aktualizēt pārstāvētajai iestādei būtiskos pasākumus un jautājumus AMR ierobežošanas jomā, tā nodrošinot vienlīdzīgas tiesības un pienākumus AMR ierobežošanas pasākumu aktualizēšanā un virzībā visās iesaistītajās nozarēs un institūcijās.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sastāva paplašināšana nerada būtiskas papildu administratīvās izmaksas un tiek nodrošināta esošo institūciju resursu ietvaros, savukārt ieguvums ir uzlabota starpnozaru koordinācija un efektīvāka AMR politikas īstenošana, risinājums ir uzskatāms par samērīgu.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apvienos institūciju viedokļus un dos iespēju piedalīties politikas veidošanā AMR ierobežošanas jomā, bet netiks noteikti konkrēti uzdevumi un informācijas sagatavošana un 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noteikumos Nr. 607 paredzētos uzdevumus nodrošinās no esošā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ievietota]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augsts sabiedrības veselības, dzīvnieku veselības un vides aizsardzības līmenis antimikrobiālās rezistences jomā atbilstoši principam “Viena veselība”, īpaši stiprinot ar vidi saistīto risku izvērtēšanu un preventīvo pasākumu koordinētu plānošanu un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augsts sabiedrības veselības un dzīvnieku veselības, kā arī vides aizsardzības līmenis AMR jomā atbilstoši principam "Viena veselība", koordinējot iestāžu sadarbību un rīcību.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26-TA-644</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26-TA-644</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anotācija_(ex_ante)_26-TA-644.docx</dc:title>
</cp:coreProperties>
</file>

<file path=docProps/custom.xml><?xml version="1.0" encoding="utf-8"?>
<Properties xmlns="http://schemas.openxmlformats.org/officeDocument/2006/custom-properties" xmlns:vt="http://schemas.openxmlformats.org/officeDocument/2006/docPropsVTypes"/>
</file>