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28. jūlija noteikumos Nr. 437 "Valsts un Eiropas Savienības atbalsta piešķiršanas kārtība pasākumā "Tirdzniecības pasākumi"""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28.jūlija noteikumos Nr.437 "Valsts un Eiropas Savienības atbalsta piešķiršanas kārtība pasākumā "Tirdzniecības pasākumi"" ir noteikta kārtība, kādā piešķir valsts un Eiropas Savienības atbalstu no Eiropas Jūrlietu un zivsaimniecības fonda pasākumam "Tirdzniecības pasākumi" (turpmāk - pasākums) saskaņā ar Eiropas Parlamenta un Padomes 2014. gada 15. maija Regulu (ES) Nr. 508/2014 par Eiropas Jūrlietu un zivsaimniecības fondu un ar ko atceļ Padomes Regulas (EK) Nr. 2328/2003, (EK) Nr. 861/2006, (EK) Nr. 1198/2006 un (EK) Nr. 791/2007 un Eiropas Parlamenta un Padomes Regulu (ES) Nr. 1255/2011 (turpmāk – regula Nr. 508/2014).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2015.gada 28.jūlija noteikumus Nr.437 "Valsts un Eiropas Savienības atbalsta piešķiršanas kārtība pasākumā "Tirdzniecības pasākumi"" ar atbalstu papildu izmaksu daļējai kompensēšanai saskaņā ar regulas Nr. 508/2014 68. panta 3. punktu, kas paredz atbalstu papildus izmaksām, kas radušās sakarā ar tirgus traucējumiem, ko izraisījis Krievijas agresijas karš pret Ukrainu, un tā ietekmi uz zvejas un akvakultūras produktu piegādes ķēdi.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2022. gada 24. februārī sāktā militārā agresija pret Ukrainu ir ievērojami veicināja zivsaimniecības uzņēmumu darbībā izmantojamo resursu, t.i., dabasgāzes, sašķidrinātās gāzes, elektroenerģijas, dīzeļdegvielas un izejvielu (metāla, kartona, dīzeļdegvielas apkurei, zivju barības un graudu), cenu 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2022.gada 14.jūlija noteikumi Nr.445 “Noteikumi par valsts un Eiropas Savienības atbalsta piešķiršanu pasākumā “Kompensācijas zivsaimniecībā ārkārtas gadījumos”” sniedza atbalstu papildu izmaksu daļējai kompensēšanai līdz 2022. gada 31. decembrim saskaņā ar Komisijas 2022. gada 25. marta Īstenošanas lēmumu (ES) 2022/500, ar kuru Krievijas militāro agresiju pret Ukrainu nosaka par ārkārtas notikumu, kas rada būtiskus tirgus traucējumus. Pasākums “Kompensācijas zivsaimniecībā ārkārtas gadījumos” tika finansēts ar Programmas zivsaimniecības attīstībai 2021 - 2027.gadam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turpināt finansēt atbalstu papildus izmaksām zvisaimniecības nozarei arī 2023.gadā nepieciešams papildināt Ministru kabineta 2015.gada 28.jūlija noteikumus Nr.437 "Valsts un Eiropas Savienības atbalsta piešķiršanas kārtība pasākumā "Tirdzniecības pasākumi"" ar atbalstu papildu izmaksu daļējai kompensēšanai saskaņā ar regulas Nr. 508/2014 68. panta 3. punktu, kas paredz atbalstu papildus izmaksām, kas radušās sakarā ar tirgus traucējumiem, ko izraisījis Krievijas agresijas karš pret Ukrainu, un tā ietekmi uz zvejas un akvakultūras produktu piegādes ķēdi 2023. gada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atbalsta piešķiršanu papildu izmaksu daļējai kompensēšanai ar līdzīgiem atbalsta saņemšanas nosacījumiem kā Ministru kabineta 2022.gada 14.jūlija noteikumos Nr.445 “Noteikumi par valsts un Eiropas Savienības atbalsta piešķiršanu pasākumā “Kompensācijas zivsaimniecībā ārkārtas gadījumos””. Noteikumu projekts nosaka atbalsta saņemšanas nosacījumus, attiecināmās izmaksas, pieteikšanās kārtību un iesniedzamos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atzīti akvakultūras nozares uzņēmums, kurā pirms projekta iesnieguma iesniegšanas vismaz vienu gadu ir audzēta akvakultūras produkcija pārdošanai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atzīti zvejas produktu apstrādes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reģistrēta zvejas kuģa īpašnieki, kam ir noslēgts rūpnieciskās zvejas tiesību nomas līgums ar zvejas tiesību iznomātāju, ir spēkā esoša speciālā atļauja (licence) komercdarbībai zvejniecībā un ar attiecīgo zvejas kuģi ceturksnī, par kuru pretendē uz atbalstu, ir nozveja Baltijas jūras un Rīgas jūras līča ūdeņos atbilstoši valsts informācijas sistēmas "Latvijas zivsaimniecības integrētā kontroles un informācijas sistēma"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sākotnēji plānotā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32014R0508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508/2014 ( 2014. gada 15. maijs ) par Eiropas Jūrlietu un zivsaimniecības fondu un ar ko atceļ Padomes Regulas (EK) Nr. 2328/2003, (EK) Nr. 861/2006, (EK) Nr. 1198/2006 un (EK) Nr. 791/2007 un Eiropas Parlamenta un Padomes Regulu (ES) Nr. 1255/2011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508/2014 ( 2014. gada 15. maijs ) par Eiropas Jūrlietu un zivsaimniecības fondu un ar ko atceļ Padomes Regulas (EK) Nr. 2328/2003, (EK) Nr. 861/2006, (EK) Nr. 1198/2006 un (EK) Nr. 791/2007 un Eiropas Parlamenta un Padomes Regulu (ES) Nr. 1255/2011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508/2014 68.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508/2014 68.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23-TA-1343</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23-TA-1343</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anotācija_(ex_ante)_23-TA-1343.docx</dc:title>
</cp:coreProperties>
</file>

<file path=docProps/custom.xml><?xml version="1.0" encoding="utf-8"?>
<Properties xmlns="http://schemas.openxmlformats.org/officeDocument/2006/custom-properties" xmlns:vt="http://schemas.openxmlformats.org/officeDocument/2006/docPropsVTypes"/>
</file>