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pasākums "Attīstīt viedas energosistēmas, tīklus un enerģijas akumulāciju ārpus Eiropas enerģētikas tīkla (TEN-E)" (turpmāk – noteikumu projekts) izstrādāts, pamatojoties uz Eiropas Savienības fondu 2021.–2027. gada plānošanas perioda vadības likuma 19. panta 13. punktu, 14. punktu un grozījumiem Nr.3 Eiropas Savienības kohēzijas politikas programmā 2021.-2027. gadam (turpmāk – Programma), kas apstiprināti ar Ministru kabineta 2025.gada 29.maija rīkojumu Nr.314 "Grozījumi Ministru kabineta 2021. gada 16. novembra rīkojumā Nr. 841 "Par Eiropas Savienības kohēzijas politikas programmu 2021.-2027. gadam"", t.sk. 2025.gada 29.maijā iesniegti oficiālai saskaņošanai Eiropas Komisijā (turpmāk - EK), un grozījumiem Nr. 4 Programmā, kas nacionālā līmenī apstiprināti Ministru kabinetā 2025.gada 7.oktobrī (tiesību akts “Grozījumi Ministru kabineta 2021. gada 16. novembra rīkojumā Nr. 841 "Par Eiropas Savienības kohēzijas politikas programmu 2021.–2027. gadam"; ID 25-TA-2199). Noteikumu projekta ietvaros tiks sniegts atbalsts akciju sabiedrībai "Sadales tīkls" (turpmāk - AS "Sadales tīkls") un akciju sabiedrībai "Augstspriegumu tīkls" (turpmāk - AS "Augstspriegumu tīkls") Latvijas enerģētiskās drošības stiprināšanai un virzībai uz enerģētisko neatkarību.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stiprināt Latvijas enerģētisko drošību un neatkarību, atsakoties no elektrotīklu savienojumiem ar Krieviju un sinhronizējoties ar Eiropas Savienības (turpmāk - ES) tīkliem, nodrošināt pietiekamu starpsavienojumu jaudu, lai palielinātu piegādes drošību un turpinātu sinhronizāciju ar ES elektrotīklu, kā arī risināt enerģētiskās neatkarības jautājumus un nodrošināt konkurētspējīgas enerģijas cenas. Pasākuma mērķa grupa ir visi Latvijas iedzīvotāji atbilstoši noteikumu projektā definētajam rezultāta rādītājam.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uzstādītās jaudas Latvijā ir pilnīgi pietiekošas nacionālā patēriņa nosegšanai, Latvija ir elektroenerģijas importētājvalsts. Vēsturisku apstākļu dēļ, Latvijas enerģētikas sektors līdz pat Krievijas brutālajam karam Ukrainā bija cieši saistīts ar Krievijas enerģētikas sektoru. Līdz 2022. gadam vairāk par 95% dabasgāzes, kā arī būtiska daļa no elektroenerģijas, tika importēti no Krievijas. Kopš 2022. gada Baltijas valstis pieņēmušas būtiskus un nozīmīgus lēmumus, kas ļauj nākotnes enerģētikas sektoru veidot balstoties uz pašpietiekamību, rūpēm par dabu un cilvēku. Jau 2022. gadā izbeigta elektroenerģijas tirdzniecība ar Krieviju, savukārt no 2023. gada aizliegts no Krievijas ievest dabasgāzi. Eiropas Padomes rekomendācijās Latvijai 2023.gadam ir aicināts stiprināt enerģētisko neatkarību, nodrošināt pietiekamu starpsavienojumu jaudu, lai palielinātu piegādes drošību un turpinātu sinhronizāciju ar ES elektrotīklu, kā arī pastiprināt politikas centienus, kuru mērķis ir nodrošināt un apgūt zaļās pārkārtošanās procesam vajadzīgās prasmes. Ņemot vērā ģeopolitiskos apstākļus un izaicinājumus, tai skaitā enerģētiskās drošības stiprināšanā, EK ir nākusi klajā ar iniciatīvu "ReArm Europe", kas paredz stiprināt ES mēroga aizsardzības spējas, izmantojot jaunas finanšu iespējas. Balstoties uz EK iniciatīvu, kas iezīmē sekojošas aktuālās vajadzības, kur atbalstu var sniegt arī Programmas investīcijās, Programmas grozījumi Nr.4 paredz jauna 2.6.1. specifiskā atbalsta mērķa "Veicināt enerģijas starpsavienojumu un saistītās pārvades, sadales, uzglabāšanas un atbalsta infrastruktūras izbūvi, kā arī kritiskās enerģētikas infrastruktūras aizsardzību un uzlādes infrastruktūras izvēršanu" īstenošanu, t.sk. paredzot 2.6.1.2. pasākuma "Attīstīt viedas energosistēmas, tīklus un enerģijas akumulāciju ārpus Eiropas enerģētikas tīkla (TEN-E)" (turpmāk - pasākums) izveidi ar mērķi stiprināt Latvijas enerģētisko drošību.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uzsākto karadarbību Ukrainā, kā arī ģeopolitiskos riskus un militārās apdraudētības palielināšanos, ir svarīgi stiprināt Latvijas enerģētisko drošību un neatkarību. Tādējādi Latvija 2023.gada 1.janvārī atteicās no Krievijas dabas gāzes importa, kas līdz tam veidoja 100% dabas gāzes importa apjomu. Ņemot vērā arī atteikšanos no elektrotīklu savienojumiem ar Krieviju, ir nepieciešams sinhronizēties ar ES tīkliem, līdz ar to ir būtiski risināt enerģētiskās neatkarības jautājumus un nodrošināt konkurētspējīgas enerģijas cenas.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Ģeopolitiskās situācijas līdz ar Krievijas iebrukumu Ukrainā dēļ nepieciešams uzlabot Latvijas enerģētisko drošību un ar to saistīto infrastruktūru. Lai secīgi un efektīvi risinātu iepriekšminētās problēmas, ir paredzēts atbalsts elektroenerģijas pieslēguma jaudu paaugstināšanai, drošu elektrolīniju izbūvei uz apdzīvotām vietām, kurās ir liels klientu skaits vai elektroenerģijas patēriņš, ģeneratoru iegādei, kas nepieciešami elektroenerģijas darbības nepārtrauktības nodrošināšanai, ģeneratoru pārvietošanai nepieciešamo piekabju vai treileru iegādei un pārvietojamu apakšstaciju iegādei ārkārtas un avārijas seku novēršanas mobilitātes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Pasākumam pieejamais finansējums, saniedzamie rādītāji un prasības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pieejamais kopējais finansējums ir 36 470 588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pieejamo finansējumu un plānotās atbalstāmās darbības, noteikumu projektā noteikts, ka  AS "Sadales tīks" var iesniegt vienu vai vairākus projektu iesniegumus par summu, kas nepārsniedz ERAF finansējumu 15 milj. </w:t>
      </w:r>
      <w:r w:rsidR="00000000" w:rsidRPr="00000000" w:rsidDel="00000000">
        <w:rPr>
          <w:i w:val="1"/>
          <w:rtl w:val="0"/>
        </w:rPr>
        <w:t xml:space="preserve">euro,</w:t>
      </w:r>
      <w:r w:rsidR="00000000" w:rsidRPr="00000000" w:rsidDel="00000000">
        <w:rPr>
          <w:rtl w:val="0"/>
        </w:rPr>
        <w:t xml:space="preserve"> un AS "Augstsprieguma tīkls" var iesniegt vienu vai vairākus projektu iesniegumus par summu, kas nepārsniedz ERAF finansējumu 16 milj.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sasniedzamos iznākuma un rezultāta rādītājus. Pasākuma ietvaros sasniedzamais rezultāta rādītājs ir elektroapgādes drošuma palielināšana iedzīvotājiem - palielināts elektroapgādes drošums 1 871 882 iedzīvotājiem. Rādītājs aptver visus Latvijas iedzīvotājus, jo plānotās investīcijas ir mērķētas elektroenerģijas sistēmas darbības nepārtrauktības nodrošināšanai. Rādītāja sasniedzamā vērtība ir noteikta, balsoties uz Centrālās statistikas pārvaldes datiem 2025.gada sākumā par iedzīvotāju skaitu 2024.gadā. Ņemot vērā iepriekš minēto, rezultāta rādītāju var ietekmēt iedzīvotāju skaita izmaiņas valstī, ko ietekmē dabiskais pieaugums (starpība starp attiecīgajā gadā dzimušo un mirušo skaitu) un starptautiskās ilgtermiņa migrācijas saldo (starpība starp imigrējušo (iebraukušo) un emigrējušo (izbraukušo) skaitu). Līdz ar to var veidoties situācija, ka šis rādītājs tiek sasniegts mazākā apmērā un attiecīgā situācijā netiek piemērotas finanšu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.punktā minētās izmaksas, kas finansējamas ārpus projekta, netiek norādītās projekta iesniegumā, izpildot Ministru kabineta 2022. gada 25. janvāra sēdes protokola Nr.4 24.§ 4.punktā noteikto: “Noteikt,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projektu iesniedzēji ir AS "Sadales tīkls" un AS "Augstsprieguma tīkls", kas pēc projektu apstiprināšanas kļūst par finansējuma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vadlīnijās Nr. 1.4. "Vadlīnijas Ministru kabineta noteikumu par specifiskā atbalsta mērķa īstenošanu izstrādei Eiropas Savienības fondu 2021.—2027. gada plānošanas periodā" noteiktajam, izmaksu un ieguvumu analīzes veikšana pasākuma ietvaros nav attiecināma, ņemot vērā, ka nav plānots sniegt komercdarbības atbalstu, netiek plānoti neto ienākumi, kā arī neiestājas citi gadījumi, kuros obligāti veicama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projekta iesniedzējam piešķirtais atbalsts nav kvalificējams kā komercdarbības atbalsts Komercdarbības atbalsta kontroles likuma 5. panta izpratnē. Atbilstoši Elektroenerģijas tirgus likumā noteiktajam katra elektroenerģijas sadales vai pārvades sistēmas operatora licences darbības zonu nosaka Sabiedrisko pakalpojumu regulēšanas komisija (turpmāk - SPRK), katram elektroenerģijas sadales vai pārvades sistēmas operatoram izsniedzot attiecīgu licenci, un šo izsniegto licenču darbības zonu pārklāšanās nav pieļaujama. Elektroenerģijas sadales vai pārvades sistēmas operators ir tiesīgs darboties tikai SPRK izsniegtās licences norādītajā darbības zonā, un elektroenerģijas sadales vai pārvades sistēmas operators nevar šo licenci nodot citām personām, tai skaitā atbilstoši Elektroenerģijas tirgus likuma 7. panta otrajā un trešajā daļā un Enerģētikas likuma 6. panta pirmajā daļā noteiktajam. No minētā tiesiskā regulējuma secināms, ka elektroenerģijas sadale vai pārvade tiek organizēta pēc ģeogrāfiskā monopola principa, proti, izveidojot dabisko monopolu, kas atbilstoši likumdevēja mērķiem ir vienots, integrēts un funkcionāli organizēts. No Elektroenerģijas tirgus likuma 11. panta pirmā punkta un 18. panta otrā punkta izrietošā, monopola būtība ir tā, ka šis monopols no likumdevēja puses ir atdalīts no konkurētspējīgas vides, kur dabiski nav iespējama un nav pieļaujama pilnīga tirgus liberalizācija. Tādējādi, elektroenerģijas sadales un pārvades sistēmas operatori ir dabiski infrastruktūras monopolisti, jo nav ekonomiski pamatoti uzturēt paralēlus elektroenerģijas sadales un pārvades tīklus, tādējādi arī sadārdzinot elektroenerģijas lietotājam sniegto pakalpojumu. Šī dabiskā monopola ietvaros infrastruktūra ir tikusi nodalīta kā vienots kopums, nodalot to no ražotājiem un pārdevējiem un saglabājot šo infrastruktūras monopolu valsts rokās. Vienlaikus šāds monopols ar normatīvajiem aktiem garantē, ka jebkuram elektroenerģijas tirgotājam, elektroenerģijas lietotājam ir vienādas tiesības izmantot kopējo infrastruktūru. Šāda pieeja atbilst starptautiskajām prasībām, tā kā minētais dabiskais monopols ir ticis veidots saskaņā ar Eiropas Parlamenta un Padomes Direktīvu 2003/54/EK (2003. gada 26. jūnijs) par kopīgiem noteikumiem attiecībā uz elektroenerģijas iekšējo tirgu un par Direktīvas 96/92/EK atcelšanu (spēkā līdz 2011. gada 2. martam), kuras 13. un 14. pantā tika noteikts, ka dalībvalstis izraugās vai pieprasa uzņēmumiem, kam pieder sadales vai pārvades sistēmas, izraudzīties vienu vai vairākus sadales vai pārvades sistēmas operatorus uz laiku, kas jānosaka dalībvalstīm, ņemot vērā ar efektivitāti un ekonomisko līdzsvaru saistītus apsvērumus. Sadales vai pārvades sistēmas operators savā apgabalā, pienācīgi ņemot vērā vides aizsardzības apsvērumus, uztur drošu, stabilu un efektīvu elektroenerģijas sadales vai pārvades sistēmu. Definējot AS "Sadales tīkls" un AS "Augstspriegumu tīkls" īstenoto komercdarbību kā sabiedrisko pakalpojumu, likumdevējs to ir nostādījis īpašā izņēmuma stāvoklī attiecībā pret atklātu saimniecisko darbību. Papildus jāmin, ka finansējuma piešķiršana AS "Sadales tīkls" un AS "Augstsprieguma tīkls" projekta ietvaros plānotajām darbībām nav klasificējama kā komercdarbības atbalsta piešķiršana, un konkrētajā gadījumā projekta ietvaros plānotajām darbībām nepiemīt valsts atbalsta stimulējoša ietekme, jo attiecīgās aktivitātes AS "Sadales tīkls"  un AS "Augstspriegumu tīkls" tirgus apstākļos būtu īstenojis arī bez piešķirtā atbalsta. Rezumējot iepriekš minēto, secināms, ka AS "Sadales tīkls" un AS ""Augstspriegumu tīkls" ir dabīgi izveidojušies monopoli, līdz ar to, piešķirot atbalstu, nav attiecināmas komercdarbības atbalsta kontroles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Pasākuma ietvaros attiecināmās izmaksas ir pakārtotas atbalstāmajām darbībām. Visas pasākuma ietvaros plānotās atbalstāmās darbības atbilst Programmas intervences laukuma kodam: 53 "Viedās energosistēmas (tostarp viedtīkli un IKT sistēmas) un ar to saistītā uzglabāšana" - finansējums 31 000 000</w:t>
      </w:r>
      <w:r w:rsidR="00000000" w:rsidRPr="00000000" w:rsidDel="00000000">
        <w:rPr>
          <w:i w:val="1"/>
          <w:rtl w:val="0"/>
        </w:rPr>
        <w:t xml:space="preserve"> 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mērķa un plānoto uzraudzības rādītāju sasniegšanu, noteikumu projektā vairākām izmaksu pozīcijām tiek noteikti procentuālie ierobežojumi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izmaksu vienotā likme sešu procentu apmērā no noteikumu projekta 16. punktā minētajām pārējām tiešajām attiecināmajām izmaksām, kas nav noteikumu projekta 16.1. apakšpunktā minētās tiešās attiecināmās projekta vadības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vadības personāla izmaksu vienotās likmes aprēķins balstīts uz šādiem pamatprincipiem, kas nosaka, ka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taisnīgs – personāla izmaksu vienotās likmes apmērs tiks piemērots vienādi visiem finansējuma saņēmējiem un vienādi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objektīvs – personāla izmaksu vienotās likmes apmērs ir aprēķināts, nepārsniedzot mēnešalgu grupu viduspunktus valsts kapitālsabiedrībās nodarbinātajiem darbiniekiem un attiecīgi Klimata un enerģētikas ministrijas (turpmāk - KEM)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pārbaudāms – personāla atlīdzības izmaksu likmes aprēķins ir pamatots ar KEM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iepriekš noteikts – personāla izmaksu vienotā likme un piemērošanas nosacījumi ir noteikti pasākuma reglamentējošos Ministru Kabineta noteikumos un piemērojama atbilstoši šajos Ministru Kabineta noteikumos noteiktajām prasībām pēc to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iesniegumā neiekļauj un finansējumu nepiešķir līdz projekta iesnieguma iesniegšanas dienai pabeigtām darbībām. Būvniecības gadījumā ar darbību (tai skaitā "pabeigtu darbību") būtu saprotams projekts kopumā, t.i., pieņemot, ka pabeigta darbība ir pilnībā pabeigti darbi/projekts, piemēram, konkrētais objekts ir nodots ekspluatācijā vai iegādāts konkrētais ģenerators vai pārvietojamā apakšstacija. Līdz ar to, nosacījums par pabeigtām darbībām nav attiecināms uz atsevišķiem projekta posmiem, piemēram, iepirkumu veikšanu, projektēšanu, vides piekļūstamības ekspertu konsultācijām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2021/1060 63.panta 7.punkta nosacījumiem, izmaksas var attiecināt no brīža, kad EK iesniegti Programmas grozījumi, attiecīgi noteikumu projekts paredz izmaksas attiecināt  sākot ar 2025.gada 29.maiju.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komunikācijas un vizuālās identitātes prasību nodrošināšanas nosacījumi, pasākuma rezultātu ilgtspējas un uzturēšanas nodrošināšanas nosacījumi. Pasākuma ietvaros plānotajos projektos, veicot iepirkuma procedūru, var piemērot vides prasību integrāciju preču un pakalpojumu iepirkumos, kā arī iespēju robežās izmantot zaļo publisko iepirkumu. Vienlaikus minētā prasība netiek izvirzīta kā obligāta prasība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saņēmēja iekšējās kontroles sistēma ietver informāciju par interešu konflikta, krāpšanas, korupcijas risku un dubultā finansējuma novēršanas mehānismu. Finansējuma saņēmējs nepieciešamības gadījumā aktualizē esošo iekšējās kontroles sistēmu, nodrošinot atbilstību noteikumu projektā izvirzītajām prasībām. Finansējuma saņēmējs, īstenojot projektus, nodrošinās pasākumā atbalstāmo darbību sinerģiju, papildināmību ar ES fondu un citiem atbalsta instrumentiem, vienlaikus nodrošinot demarkācijas un dubultfinansējuma riska novēršanu gadījumus, kad no dažādiem finanšu avotiem tiks atbalstītas vienas un tās pašas atbalstāmās darbības. Tiks nodrošināta demarkācija un investīciju papildinātība ar Eiropas Savienības Atveseļošanas un noturības mehānisma plāna 7.1.1. reformas "Enerģijas sektora transformācija" 7.1.1.2.i "Elektroenerģijas pārvades un sadales tīklu modernizācija" investīciju. Papildinoši plānotas investīcijas arī Modernizācijas fonda programmā - "Atbalsts Latvijas elektroenerģijas tīkla jaudas pastiprināšanai".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pasākuma ietvaros tiek īstenotas investīcijas elektroenerģijas infrastruktūras sistēmas jaudu paaugstināšanai – ņemot vērā pieejamo finansējumu pasākuma ietvaros, plānota elektroenerģijas jaudu paaugstināšana divās apakšstacijās. Lai nodrošinātu plānoto investīciju mērķtiecīgu ieguldīšanu, elektroenerģijas infrastruktūras sistēmas jaudu paaugstināšanas ieguldījumus primāri plānots attīstīt teritorijās ar ļoti augstu elektroenerģijas patēriņa izmantošanas potenciālu. Pasākuma ietvaros ir plānotas investīcijas Jelgavas valstspilsētas pašvaldības teritorijā esošajā apakšstacijā “Miezīte”. Jelgavas valstspilsētas pašvaldībā tiek īstenots Eiropas Savienības Atveseļošanas un noturības mehānisma plāna 3.1.1.3.i. investīcijas “Investīcijas uzņēmējdarbības publiskajā infrastruktūrā industriālo parku un teritoriju attīstīšanai reģionos”  projekts “Zemgales industriālā parka attīstība, I kārta”, kura mērķis ir attīstīt publisko infrastruktūru Zemgales industriālā parka teritorijas sasniedzamībai, attīstībai un investoru piesaistei, sekmējot darba vietu ar augstu pievienoto vērtību   radīšanu. Vienlaikus Zemgales industriālā parka sekmīgai attīstībai ir nepieciešama elektroenerģijas infrastruktūras sistēmas jaudu paaugstināšana, ņemot vērā  plānotos ražošanas objektus, kuru darbības nodrošināšanai energoapgādes nodrošināšanai pieejamās brīvās pieslēguma jaudas ir nepietiekamā apmērā. Papildus atzīmējams, ka saskaņošanas procesa ietvaros vēl tiek izvērtētas arī citas teritorijas, kurām ir augsts elektroenerģijas patēriņa izmantošanas potenciāls un kurām ir nepieciešama elektroenerģijas jaudu paaugstināšana.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īstenojot projektu, finansējuma saņēmējs izpilda attiecināmās prasības un nodrošina, ka projekts atbilst principa "Klimatdrošināšana" ievērošanai. Projektā ietvertie pasākumi paredz horizontālā principa "Klimatdrošināšana" nepieciešamo prasību ievērošanu attiecībā uz klimata pārmaiņu mazināšanu un pielāgošanos klimata pārmaiņām, attiecīgo informāciju iekļaujot projekta iesniegumā, ja attiecināms, piemēram: nodrošinot atbilstību pielāgošanās klimata pārmaiņu aspektiem, kopsakarībā ar klimata pārmaiņu radītajiem potenciālajiem riskiem un to ietekmes novēršanu projektā tiks izvērtēta iespēja veikt attiecīgas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finansējuma saņēmējs nodrošina, ka projektā tiek ievēroti principa "Nenodarīt būtisku kaitējumu" (turpmāk – NBK) noteiktie klimata pārmaiņu mazināšanas, pielāgošanos klimata pārmaiņām un vides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princips NBK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NBK novērtējums nosaka, ka nav nepieciešams padziļināts novērtējums attiecībā uz klimata pārmaiņu mazināšanu, pielāgošanos klimata pārmaiņām un ūdens un jūras resursu ilgtspējīgu izmantošanu un aizsardzību. Savukārt, padziļināts novērtējums veikts par aprites ekonomikas, tostarp atkritumu rašanās novēršana un pārstrādi, piesārņojuma novēršanu un to kontroli gaisā, ūdenī vai zemē un bioloģiskās daudzveidības un ekosistēmu aizsardzības un atjaunošanu. Veicot padziļinātu novērtējumu nav konstatēts, ka pasākuma ietvaros būs būtiska negatīva ietekme uz iepriekš minētajiem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"Vienlīdzība, iekļaušana, nediskriminācija un pamattiesību ievērošana", kā arī nav ietekmes uz horizontālo principu "Energoefektivitāte pirmajā vietā".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programmas grozījumus Nr.4 ir nepieciešams apstiprināt arī EK un vienlaikus, lai nodrošinātu investīciju savlaicīgu īstenošanas uzsākšanu, t.sk. sekmējot investīciju ieplūšanu tautsaimniecībā, noteikumu projektam pievienotajā Ministru kabineta protokollēmuma projektā tiek paredzēta izrietoša rīcība – proti, atļaut investīciju īstenošanas uzsākšanu pirms EK lēmuma un vienlaikus Klimata un enerģētikas ministrijai arī informēt Ministru kabinetu par priekšlikumiem rīcībai gadījumā, ja netiek saņemts pozitīvs EK lēmums par grozījumiem programmā.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nepieciešama, lai īstenotu pasākumu, kura ietvaros īstenoto darbību rezultātā tiks sniegts  atbalsts Latvijas enerģētiskās drošības stiprināšanai. Rezultātā tiks veikta elektroenerģijas sadales sistēmas kopējās jaudas palielināšana, kas veicinās ekonomikas konkurētspēju un sniegs iespējas plašākai elektrifikācijai reģionā. Papildus tiks iegādāti ģeneratori un pārvietojamas apakšstacijas, kas spēs nodrošināt iedzīvotājiem elektroenerģijas darbības nepārtrauktību brīžos, kad rodas elektrības pārrāvumi, līdz ar to ieguvēji būs visa Latvijas sabiedrība kopumā. Tāpat jāņem vērā, ka pasākumā kā rezultatīvais rādītājs tiek definēta elektroapgādes drošuma paaugstināšana iedzīvotājiem un tiek aptverti visi Latvijas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"Augstsprieguma tīkls", Akciju sabiedrība "Sadales tīkls", 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"Augstsprieguma tīkls" un akciju sabiedrība "Sadales tīkls" pildīs finansējuma saņēmēja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veiks atbildīgā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rezultātā tiks stiprināta Latvijas kopējā enerģētiskā neatkarība, samazinot atkarību no importētās elektroenerģijas.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un investīciju nonākšana tautsaimniecībā projektu īstenošanas laikā. Vērtējot projektu īstenošanas ietekmi uz administratīvajām procedūrām un to izmaksām, nav identificēts administratīvā sloga palielinājums, t.sk. ņemot vērā noteikumu projektā piedāvātos risinājumus. Projekta vadībā iesaistītās institūcijas darbosies tām noteikto amata vietu robežās, jaunas patstāvīgas amata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rīcības ir saistītas ar enerģētiskās drošības stiprināšanai nepieciešamās infrastruktūras attīstību un modernizāciju, tādēļ paredzams, ka investīcijas radīs pozitīvu ietekmi uz ekonomiku kopumā, t.sk. nodarbinātību, īpaši  projektos atbalstīto darbību, tas ir, būvniecības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7 058 824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18 823 529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8 235 294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7 058 824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18 823 529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8 235 294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-1 058 824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-2 823 529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-1 235 294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-1 058 824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-2 823 529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-1 235 294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-1 058 824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-2 823 529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-1 235 294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-1 058 824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-2 823 529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-1 235 294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pieejamais kopējais finansējums ir 36 470 588 euro, tai skaitā ERAF finansējums 31 000 000  euro un valsts budžeta finansējums 5 470 588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ir Eiropas Savienības fondu finansējuma daļa un izdevumi ir kopīgie nepieciešamie līdzekļi t.sk. Eiropas Savienības fondu finansējuma daļa ir 85%, valsts budžeta finansējuma daļa ir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kopējais finansējums ir 7 058 824 euro, no tā ERAF finansējums – 6 000 000 euro un valsts budžeta finansējums – 1 058 824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kopējais finansējums ir 18 823 529 euro, no tā ERAF finansējums – 16 000 000 euro un valsts budžeta finansējums – 2 823 529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kopējais finansējums ir 2 352 941 euro, no tā ERAF finansējums – 2 000 000 euro un valsts budžeta finansējums – 352 941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kopējais finansējums ir 8 235 294 euro, no tā ERAF finansējums – 7 000 000 euro un valsts budžeta finansējums – 1 235 294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 nozīmē to, ka tas var mainīties atbilstoši finansējumu saņēmēju īstenotajām darbībām, tai skaitā, noslēgtajiem iepirkumu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Visas pasākuma ietvaros plānotās atbalstāmās darbības atbilst intervences laukuma kodam: 53 "Viedās energosistēmas (tostarp viedtīkli un IKT sistēmas) un ar to saistītā uzglabāšana" – (finansējums 31 000 000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projekta īstenošanai attiecībā uz ERAF finansējuma un valsts budžeta līdzfinansējuma nodrošināšanu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16.8.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Regulas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Klimata un enerģētikas ministrija, tas tiks saskaņots ar Finanšu ministriju, Tieslietu ministriju, Ekonomikas ministriju, Labklājības ministriju, kā arī citām institūcijām (ja nepieciešams) atbilstoši MK 2021. gada 7. septembra noteikumos Nr. 606 “Ministru kabineta kārtības rullis” noteiktajai kārtībai.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ietvaros plānotās investīcijas veicinās Nacionālajā attīstības plānā 2021. – 2027. gadam izvirzītā rīcības virziena "Drošība" īstenošanu, jo ir vērstas uz enerģētiskās drošības stiprināšanu.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īstenošanas rezultātā tiks attīstītas elektroenerģijas pārvades un sadales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ievērošanai un atbilst ES un nacionālajiem vides tiesību aktiem, atbilstoši šajā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horizontālā principa “Klimatdrošināšana”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atbalsta saņēmējs var piemērot zaļo publisko iepirkumu saskaņā ar Ministru kabineta 2017. gada 20. jūnija noteikumiem Nr. 353 “Prasības zaļajam publiskajam iepirkumam un to piemērošanas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plānotajiem ieguldījumiem nav ietekmes uz horizontālo principu “Vienlīdzība, iekļaušana, nediskriminācija un pamattiesību ievērošana” (turpmāk - HP VINPI) un atbalsta piešķiršanas izvērtēšanā netiks piemērots HP VINPI specifiskais atbilstības kritērijs, kā arī nav ietekmes uz horizontālo principu "Energoefektivitāte pirmajā vietā". Pasākumā plānotās atbalstāmās darbības ir izteikti vērstas uz infrastruktūras izveidi vai iegādi - proti, elektroenerģijas pieslēguma jaudu paaugstināšanu apakšstacijās, elektrolīniju izbūvi, kā arī pārvietojamu apakšstaciju un ģeneratoru iegādi ārkārtas un avārijas seku novēršanas mobilitātes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plānotajiem ieguldījumiem ir tieša ietekme uz horizontālo principu "Klimatdrošināšana". Saskaņā ar noteikumu projektā noteikto, atbalsta saņēmējs nodrošina, ka projekta īstenošanas laikā tiks ievēroti minētie horizontālie principi. Lai pielāgotos klimata pārmaiņu radītajiem riskiem (iespējami ekstrēmi klimatiskie notikumi, piemēram, karstuma viļņi (infrastruktūras pārkaršana un materiālu nolietojums karstuma dēļ), plūdi, lietusgāzes, vēja brāzmu, sasalšanas un kušanas ciklu radītie bojājumi), plānojot projektus, jāparedz novēršanas vai mazināšanas pasākumi (plānotie risinājumi var būt iekļauti, piemēram, projektēšanas dokumentācijā vai tehniskajā aprakstā; būvniecības dokumentācijā; ražotāju tehniskajā dokumentācijā, kas apliecina materiāla izturību/raksturojošo informāciju). Attiecībā uz investīcijām ģeneratoru un pārvietojamo apakšstaciju iegādei, kas nepieciešami elektroenerģijas darbības nepārtrauktības nodrošināšanai, regula Nr. 2021/1060 paredz izņēmumus investīcijām, ņemot vērā, ka netiek radīta tieša negatīva ietekme, kā arī to, ka šādu investīciju primārais mērķis ir ārkārtas un avārijas seku novēršanas mobilitātes nodrošināšana. Ģeneratori un pārvietojamās apakšstacijas tiks pielietoti tikai ārkārtas un avārijas seku novēršanas mobilitātes nodrošināšanai. Attiecībā uz pārējiem ieguldījumiem pasākuma ietvaros, kas saistīt ar būvniecību, tiks ņemti vērā horizontālo principu aspekti.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25-TA-1669</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25-TA-1669</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anotācija_(ex_ante)_25-TA-1669.docx</dc:title>
</cp:coreProperties>
</file>

<file path=docProps/custom.xml><?xml version="1.0" encoding="utf-8"?>
<Properties xmlns="http://schemas.openxmlformats.org/officeDocument/2006/custom-properties" xmlns:vt="http://schemas.openxmlformats.org/officeDocument/2006/docPropsVTypes"/>
</file>