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2021. gada 8. jūnija Ministru kabineta sēdē apstiprinātajiem grozījumiem Eiropas Savienības struktūrfondu un Kohēzijas fonda 2014.-2020. gada plānošanas perioda darbības programmā “Izaugsme un nodarbinātība” (turpmāk – Darbības programma), lai komersanti varētu pretendēt uz 13.1.6. specifiskā atbalsta mērķa “Atveseļošanas pasākumi ekonomikas nozarē – nodarbināto apmācības (ERAF)” (turpmāk – 13.1.6. SAM) finansējumu un veiksmīgāk pārvarētu Covid-19 krīzi un turpinātu aktivitātes, kas vērstas uz Latvijas tautsaimniecības attīstību un komersantu nodarbināto prasmju pilnveidi. Papildus, ņemot vērā Covid-19 radīto nenoteiktību, kas arī ietekmē apmācību organizēšanu, Noteikumu projekts paredz, ka ar 13.1.6. SAM rādītāju vērtību samazināšanu tiek samazinātas un aizvietotas virssaistību uzraudzības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ieviešanas nosacījumu pilnveidošana attiecībā uz REACT-EU Eiropas Reģionālās attīstības fonda (turpmāk – ERAF) finansējumu, sniedzot papildu finansiālo atbalstu ES fondu 2014.-2020. 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Darbības programmas grozījumi paredz ar 13.1.6. SAM finansējumu aizstāt virssaistību finansējumu 1.2.2. specifiskā atbalsta mērķa "Veicināt inovāciju ieviešanu komersantos" 1.2.2.3. pasākumā "Atbalsts IKT un netehnoloģiskām apmācībām, kā arī apmācībām, lai sekmētu investoru piesaisti" (turpmāk - 1.2.2.3. pasākums) un 1.2.2.1. pasākumā "Atbalsts nodarbināto apmācībām" (turpmāk - 1.2.2.1. pasākums). 13.1.6. SAM sasniedzamos kopējos rezultatīvos rādītājus un finansējumu veido 1.2.2.1. pasākuma un 1.2.2.3. pasākuma iepriekšējie virssaistību rādītāji, kas papildināti ar jaunu specifisko rezultāta rādītāju - inovatīvo komersantu īpatsvars, un finansējums, tādējādi paredzot, ka 13.1.6. SAM īstenošanas noteikumi par 1.2.2.3. pasākuma iepriekšējiem virssaistību rādītājiem un specifisko rezultāta rādītāju - inovatīvo komersantu īpatsvars ir regulēti Ministru kabineta noteikumos Nr. 365 “Darbības programmas “Izaugsme un nodarbinātība” 1.2.2. specifiskā atbalsta mērķa “Veicināt inovāciju ieviešanu komersantos” 1.2.2.3. pasākuma „Atbalsts IKT un netehnoloģiskām apmācībām, kā arī apmācībām, lai sekmētu investoru piesaisti” īstenošanas noteikumi” (turpmāk – MK noteikumi Nr. 365), savukārt 13.1.6. SAM īstenošanas noteikumi par 1.2.2.1. iepriekšējiem virssaistību rādītājiem un specifisko rezultāta rādītāju - inovatīvo komersantu īpatsvars ir regulēti Ministru kabineta noteikumos Nr. 617 "Darbības programmas "Izaugsme un nodarbinātība" 1.2.2. specifiskā atbalsta mērķa "Veicināt inovāciju ieviešanu komersantos" 1.2.2.1. pasākuma "Atbalsts nodarbināto apmācībām" pirmās un otrās projektu iesniegumu atlases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5. decembrī stājās spēkā grozījumi MK noteikumos Nr. 365, Latvijas Investīciju un attīstības aģentūras (turpmāk – LIAA) projektā paredzot jaunas atbalstāmās darbības – augsta līmeņa apmācības un labās prakses pārņemšana. LIAA ir veikusi līguma grozījumus ar Centrālo finanšu un līgumu aģentūru (turpmāk – CFLA), pagarinot projekta ieviešanas termiņu līdz 2023. gada 31. decembrim, tādejādi arī pagarinot rādītāju sasniegšanas termiņu. Noteikumu projekts ir sagatavots, lai pēc minētajiem Darbības programmas grozījumiem iestrādātu nepieciešamos precizējumus, kas ļautu izmantot  finansējumu, sniedzot papildu atbalstu 2014. – 2020. gada plānošanas periodā. Šie papildus līdzekļi tiks piešķirti attiecināmo izdevumu segšanai līdz 2023. gada beigām. Noteikumu projekts paredz ar 13.1.6. SAM finansējumu aizstāt virssaistību finansējumu MK noteikumu Nr. 365 22.2. un 22.3. punktā minētajām atbalstāmajām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13.1.6. SAM  piešķīrumu dalībvalstīm Eiropas Komisija lemj divās daļās, noteikumu projektā ir iestrādāts arī piešķirtā 13.1.6. SAM finansējuma piešķīrums par 2021. un 2022. gadu. 13.1.6. SAM pieejamais React-EU ERAF finansējums ir 19 700 000 euro (intervences kods Nr. 64 “Uzlaboti atbalsta pakalpojumi MVU un MVU grupām (tostarp vadības, tirgvedības,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dizaina pakalpojumi)”), kur 16 745 000 euro ir ERAF finansējums, savukārt 2 955 000 euro ir valsts budžeta finansējums, bet pieejamā 13.1.6. SAM finansējuma daļa MK noteikumu Nr. 365 22.2. un 22.3. punktā minētajām atbalstāmajām darbībām ir 5 000 000 euro, kur 4 250 000 euro ir ERAF finansējums, savukārt 750 000 euro ir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13.1.6. SAM  finansējuma piešķīrumu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gadā 4 000 000 euro apmērā, kur 3 400 000 euro ir ERAF finansējums, bet 600 000 euro ir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1 000 000 euro apmērā, kur 850 000 euro ir ERAF finansējums, bet 150 000 euro ir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grozījumi paredz sasniedzamo rādītāju precizēšanu, paredzot, ka 13.1.6. SAM ietvaros atbalstīto komersantu skaits ir 350, bet personu skaits, kas saņem nefinansiālu atbalstu, – 2000. Minētie rādītāji ir noteikti uz abiem 13.1.6. SAM pasākumiem. Attiecīgie rādītāji ir sadalīti pa atbalstāmajiem pasākumiem, ievērojot proporcionalitātes principu pēc piešķirtā finansējuma MK noteikumu Nr. 365 ietvaros atbalstāmajam 13.1.6. SAM pasākumam paredzot šādus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atbalstīto komersantu skaits – 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skaits, kas saņem nefinansiālu atbalstu, –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sasniedzamie rādītāji ir sadalīti proporcionāli 13.1.6. SAM finansējuma piešķīrumam,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2021. gada piešķīrumu atbalstīto komersantu skaits ir 105, savukārt personu skaits, kas saņem nefinansiālu atbalstu, – 525,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2022. gada piešķīrumu atbalstīto komersantu skaits ir 17, savukārt personu skaits, kas saņem nefinansiālu atbalstu, - 175.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rādītāji par katru finansējumu piešķīrumu nav sasniedzami minētā gada ietvaros, bet gan līdz projekta noslēgumam 2023. gadā, paredzot, ka tad, kad pilnībā izlietots attiecīgā gada finanšu piešķīrums, ir jābūt sasniegtiem minētājiem rādītājiem par atbilstošo gadu. Sākotnēji finansējuma saņēmējs veic 2021. gada finansējuma piešķīruma investēšanu un rādītāju sasniegšanu, savukārt pēc tam 2022. gada finansējuma piešķīruma investēšanu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sasniedzamo rādītāju samazināšana neietekmēs horizontālās prioritātes "Ilgtspējīga attīstība" rādītāju sasniegšanu, jo 1.2.2.3. pasākuma radītāji netiek samazināti un projektu iesniegumu vērtēšanas kritērijā "Projekta ietvaros tiks īstenotās apmācības eko-inovāciju jomā (saskaņā ar normatīvajiem aktiem par Latvijas izglītības klasifikāciju: 850 Vides aizsardzība)" norādītās vērtības nav samazinātas.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43.2 punktu, kas paredz, ka piešķirtais 13.1.6. SAM finansējums ir paredzēts MK noteikumu Nr. 365 13.3. apakšpunktā minētajam finansējuma saņēmējam šo noteikumu 22.2. un 22.3. apakšpunktā minēto atbalstāmo darbību nodrošināšanai. Līdz ar to minētais 13.1.6. SAM finansējums var tikt izmantos paralēli šo noteikumu 9. punktā minētajam finansējumam, nodalot finanšu plūsmas. Finanšu plūsmas tiek nodalītas projekta budžetā paredzot atsevišķas budžeta pozīcijas atbalstāmajām darbībām, kas tiek finansētas no 13.1.6. SAM finansējuma. Finanšu plūsmas tiek arī nodalītas par katru finansējumu sniedzot atsevišķu maksājuma pieprasījumu KP 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62.3. apakšpunktā ir svītrota atsauce uz Komisijas regulas Nr.651/2014 1. panta 4. punkta c) apakšpunktu, lai novērstu iespēju, ka atbalsta pasākumu ietvarā varētu tikt atbalstīti grūtībās nonākuši komersanti, jo no ERAF fondu finansējumu nevar tikt atbalstīti savienības valstī atbalsta noteikumos definētie grūtībās nonākušie uzņēmumi. Šī atsauce MK noteikumu Nr. 365 62.3. apakšpunktā svītrota, pamatojoties uz Eiropas Parlamenta un Padomes 2020. gada 23. aprīļa regulas (ES) 2020/558, ar ko Regulas (ES) Nr. 1301/2013 un (ES) Nr. 1303/20 groza attiecībā uz īpašiem pasākumiem, lai nodrošinātu ārkārtas elastību Eiropas strukturālo un investīciju fondu izmantošanā, reaģējot uz Covid-19 uzliesmojumu 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2021.gada 6.aprīļa vēstuli Nr.7-4/18/1868 par Komisijas regulas Nr.651/2014 2.panta 18.punkta "c" apakšpunkta piemērošanu un ņemot vērā, ka konkrētā punkta prasība tiek pārbaudīta, balstoties uz atbalsta pretendenta iesniegtu apliecinājumu, noteikumu projekts ir papildināts ar 62.6. apakšpunktu, kas paredz atbalsta pretendentam iesniegt apliecinājumu par MK noteikumu Nr. 365 62.3. apakšpunktā minēto prasību, kas izriet no Komisijas regulas Nr. 651/2014 2. panta 18. punkta "c" apakšpunkta, ietvertā nosacījuma ievērošanu – uzņēmums neatbilst normatīvajos aktos noteiktiem kritērijiem, lai tam pēc kreditora pieprasījuma piemērotu maksātnespējas procedūru. Pārbaudi par MK noteikumu Nr. 365 62.3. apakšpunktā ietverto prasību, ka uzņēmums neatbilst valsts tiesību aktos noteiktajiem kritērijiem, lai tam pēc kreditora pieprasījuma piemērotu maksātnespējas procedūru, šobrīd nav iespējams veikt, pamatojoties uz publiskajos reģistros pieejamo informāciju, atšķirībā no maksātnespējas un tiesiskās aizsardzības procesa pārbaudes, kas var tikt īstenota balstoties un publiskajos reģistros pieejamo informāciju. Tāpēc gala labuma guvējam pirms atbalsta saņemšanas, piesakoties atbalstam, ir nepieciešams sniegt apliecinājumu, ka tam netiek piemērota kolektīva maksātnespējas procedūra, vai tas atbilst savas valsts tiesību aktos noteiktiem kritērijiem, lai tam pēc kreditoru pieprasījuma piemērotu kolektīvu maksātnespējas procedūru. Šo apliecinājumu gala labuma guvējs iesniedz atbalsta sniedzējam, iesniedzot atbalsta pieteikumu, lai atbalsta sniedzējs var pārliecināties, ka gala labuma guvējs neatbilst Komisijas regulas Nr. 651/2014 2. panta 18. punkta "c" apakšpunktā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veiktas izmaiņas 64.</w:t>
      </w:r>
      <w:r w:rsidR="00000000" w:rsidRPr="00000000" w:rsidDel="00000000">
        <w:rPr>
          <w:vertAlign w:val="superscript"/>
          <w:rtl w:val="0"/>
        </w:rPr>
        <w:t xml:space="preserve">1</w:t>
      </w:r>
      <w:r w:rsidR="00000000" w:rsidRPr="00000000" w:rsidDel="00000000">
        <w:rPr>
          <w:rtl w:val="0"/>
        </w:rPr>
        <w:t xml:space="preserve"> , 64.</w:t>
      </w:r>
      <w:r w:rsidR="00000000" w:rsidRPr="00000000" w:rsidDel="00000000">
        <w:rPr>
          <w:vertAlign w:val="superscript"/>
          <w:rtl w:val="0"/>
        </w:rPr>
        <w:t xml:space="preserve">2</w:t>
      </w:r>
      <w:r w:rsidR="00000000" w:rsidRPr="00000000" w:rsidDel="00000000">
        <w:rPr>
          <w:rtl w:val="0"/>
        </w:rPr>
        <w:t xml:space="preserve">  un 64.</w:t>
      </w:r>
      <w:r w:rsidR="00000000" w:rsidRPr="00000000" w:rsidDel="00000000">
        <w:rPr>
          <w:vertAlign w:val="superscript"/>
          <w:rtl w:val="0"/>
        </w:rPr>
        <w:t xml:space="preserve">3</w:t>
      </w:r>
      <w:r w:rsidR="00000000" w:rsidRPr="00000000" w:rsidDel="00000000">
        <w:rPr>
          <w:rtl w:val="0"/>
        </w:rPr>
        <w:t xml:space="preserve"> punktā, precizējot nelikumīga komercdarbības atbalsta atgūšanas procesu. Izmaiņas Noteikumu projektā veiktas pēc grozījumiem Komercdarbības atbalsta kontroles likumā, kas stājās spēkā 2021. gada 8. jūnijā. Minētajos grozījumos cita starpā veiktas arī izmaiņas nelikumīga un nesaderīga komercdarbības atbalsta atgūšanā un tās procesuālajā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Tieslietu ministrijas ierosinājuma ir dzēsts 64.</w:t>
      </w:r>
      <w:r w:rsidR="00000000" w:rsidRPr="00000000" w:rsidDel="00000000">
        <w:rPr>
          <w:vertAlign w:val="superscript"/>
          <w:rtl w:val="0"/>
        </w:rPr>
        <w:t xml:space="preserve">4</w:t>
      </w:r>
      <w:r w:rsidR="00000000" w:rsidRPr="00000000" w:rsidDel="00000000">
        <w:rPr>
          <w:rtl w:val="0"/>
        </w:rPr>
        <w:t xml:space="preserve"> 1. apakšpunkts, jo 64.</w:t>
      </w:r>
      <w:r w:rsidR="00000000" w:rsidRPr="00000000" w:rsidDel="00000000">
        <w:rPr>
          <w:vertAlign w:val="superscript"/>
          <w:rtl w:val="0"/>
        </w:rPr>
        <w:t xml:space="preserve">1</w:t>
      </w:r>
      <w:r w:rsidR="00000000" w:rsidRPr="00000000" w:rsidDel="00000000">
        <w:rPr>
          <w:rtl w:val="0"/>
        </w:rPr>
        <w:t xml:space="preserve"> punkts jau paredz normu, ka 13.1. un 13.2. apakšpunktā minētajiem finansējuma saņēmējiem ir pienākums atmaksāt Sadarbības iestādei nelikumīgi saņemto atbalstu un ka šiem līdzekļiem jābūt brīviem no valsts atbalsta, attiecīgi ar 64.</w:t>
      </w:r>
      <w:r w:rsidR="00000000" w:rsidRPr="00000000" w:rsidDel="00000000">
        <w:rPr>
          <w:vertAlign w:val="superscript"/>
          <w:rtl w:val="0"/>
        </w:rPr>
        <w:t xml:space="preserve">4</w:t>
      </w:r>
      <w:r w:rsidR="00000000" w:rsidRPr="00000000" w:rsidDel="00000000">
        <w:rPr>
          <w:rtl w:val="0"/>
        </w:rPr>
        <w:t xml:space="preserve">1. apakšpunktu būtībā tiek dublēts 64.</w:t>
      </w:r>
      <w:r w:rsidR="00000000" w:rsidRPr="00000000" w:rsidDel="00000000">
        <w:rPr>
          <w:vertAlign w:val="superscript"/>
          <w:rtl w:val="0"/>
        </w:rPr>
        <w:t xml:space="preserve">1</w:t>
      </w:r>
      <w:r w:rsidR="00000000" w:rsidRPr="00000000" w:rsidDel="00000000">
        <w:rPr>
          <w:rtl w:val="0"/>
        </w:rPr>
        <w:t xml:space="preserve"> punkts.  Tāpat ir precizēta 64.</w:t>
      </w:r>
      <w:r w:rsidR="00000000" w:rsidRPr="00000000" w:rsidDel="00000000">
        <w:rPr>
          <w:vertAlign w:val="superscript"/>
          <w:rtl w:val="0"/>
        </w:rPr>
        <w:t xml:space="preserve">3</w:t>
      </w:r>
      <w:r w:rsidR="00000000" w:rsidRPr="00000000" w:rsidDel="00000000">
        <w:rPr>
          <w:rtl w:val="0"/>
        </w:rPr>
        <w:t xml:space="preserve"> punkta redakcija, jo šobrīd 64.</w:t>
      </w:r>
      <w:r w:rsidR="00000000" w:rsidRPr="00000000" w:rsidDel="00000000">
        <w:rPr>
          <w:vertAlign w:val="superscript"/>
          <w:rtl w:val="0"/>
        </w:rPr>
        <w:t xml:space="preserve">4</w:t>
      </w:r>
      <w:r w:rsidR="00000000" w:rsidRPr="00000000" w:rsidDel="00000000">
        <w:rPr>
          <w:rtl w:val="0"/>
        </w:rPr>
        <w:t xml:space="preserve"> 2. apakšpunkts paredz atbalsta atmaksas no šo noteikumu 13.1. vai 13.2. apakšpunktā minētā finansējuma saņēmēja nosacījumu šo noteikumu 64.</w:t>
      </w:r>
      <w:r w:rsidR="00000000" w:rsidRPr="00000000" w:rsidDel="00000000">
        <w:rPr>
          <w:vertAlign w:val="superscript"/>
          <w:rtl w:val="0"/>
        </w:rPr>
        <w:t xml:space="preserve">3</w:t>
      </w:r>
      <w:r w:rsidR="00000000" w:rsidRPr="00000000" w:rsidDel="00000000">
        <w:rPr>
          <w:rtl w:val="0"/>
        </w:rPr>
        <w:t xml:space="preserve"> punktā minētajā gadījumā, tomēr šo noteikumu 64.</w:t>
      </w:r>
      <w:r w:rsidR="00000000" w:rsidRPr="00000000" w:rsidDel="00000000">
        <w:rPr>
          <w:vertAlign w:val="superscript"/>
          <w:rtl w:val="0"/>
        </w:rPr>
        <w:t xml:space="preserve">3</w:t>
      </w:r>
      <w:r w:rsidR="00000000" w:rsidRPr="00000000" w:rsidDel="00000000">
        <w:rPr>
          <w:rtl w:val="0"/>
        </w:rPr>
        <w:t xml:space="preserve"> punkts šobrīd neparedz attiecīgu 13.1. vai 13.2. apakšpunktā minētā finansējuma saņēmēja pienākumu, padarot 64.</w:t>
      </w:r>
      <w:r w:rsidR="00000000" w:rsidRPr="00000000" w:rsidDel="00000000">
        <w:rPr>
          <w:vertAlign w:val="superscript"/>
          <w:rtl w:val="0"/>
        </w:rPr>
        <w:t xml:space="preserve">4</w:t>
      </w:r>
      <w:r w:rsidR="00000000" w:rsidRPr="00000000" w:rsidDel="00000000">
        <w:rPr>
          <w:rtl w:val="0"/>
        </w:rPr>
        <w:t xml:space="preserve">2. apakšpunktu neskaidru.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veiks grozījumus līgumā ar CFLA.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iespējas ir cieši saistītas ar vispārējo ekonomisko situāciju un uzņēmējdarbības attīstību valstī. Vienlaikus būtisks izaugsmes ierobežojums komersantiem ir augsti kvalificēta darbaspēka trūkums. Ņemot vērā tautsaimniecības pārstrukturizāciju vidējā un ilgtermiņā, sagaidāmas izmaiņas arī daba spēka pieprasījumā pēc augstas kvalifikācijas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neskatoties uz komersantu nepieciešamību pēc kvalificēta darbaspēka un nodarbināto profesionālās pilnveides apmācībām, Covid-19 radītie ierobežojumi ir būtiski ietekmējuši lielāko daļu komersantu iespējas organizēt apmācības, tāpēc ir nepieciešams samazināt projektā noteiktos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 13.1.6. SAM finansējums LIAA projektā varēs tikt attiecināts augsta līmeņa apmācībā un labās prakses pārņemšanas apmācībām, kas komersantiem ļaus pilnveidot savu nodarbināto kvalifikāciju un prasmes, tādejādi mazinot trūkstošo augsti kvalificēto darbinieku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Noteikuma projekts paredz sasniedzamo rezultatīvo rādītāju samazināšanu atbilstoši Darbības programmā norādītājiem 13.1.6. SAM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veiktie grozījumi ļaus izmantot 13.1.6. SAM finansējumu augsta līmeņa apmācībām un labās prakses apmācībām, tādejādi paplašinot komersantu iespējas pilnveidot savu darbinieku zināšanas un  prasmes. Projektā noteikto rezultatīvo rādītāju samazināšana atbilstoši Darbības programmas grozījumiem ļaus finansējuma saņēmējiem veiksmīgāk īstenot projektus, jo šie projektu ieviešanas ierobežojumi ir radušies no finansējuma saņēmējiem neatkarīgiem apstākļiem, jo dažādu Covid-19 ierobežojumu dēļ apmācības nav varējušas notikt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veiktie grozījumi neradīs papildus izmaksas un sniegs komersantiem iespēju pilnveidot nodarbināto zināšanas un prasmes augsta līmeņa apmācībās un labās prakses apmācībās, tādējādi veicinot nodarbināto ar augstu kvalifikāciju skaitu. Paredzams, ka grozījumiem būs pozitīva ietekme uz tautsaimniecību.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būs pieejamas augsta līmeņa apmācībās un labās prakses apmācībās. Noteikumu projekta ietekme uz tautsaimniecību vērtējama kā pozitīva, jo tiks sekmētas nodarbināto apmācībās un to kvalifikācijas 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ietekme uz tautsaimniecību vērtējama kā pozitīva, jo tiks sekmētas nodarbināto apmācības un celta to kvalifikācija. Apmācības ļaus sekmēt inovācijas komersantos, palielinās komersantu konkurētspēju, eksportspēju, kvalitāti un stiprinās Latvijas augsta potenciāla un viedās specializācijas stratēģijai atbilstošus nozaru uzņēmumus, pilnveidojot to nodarbināto prasmes.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ietekme uz tautsaimniecību vērtējama kā pozitīva, jo tiks sekmētas nodarbināto apmācības un celta to kvalifikācija. Apmācības ļaus sekmēt inovācijas komersantos, palielinās komersantu konkurētspēju, eksportspēju, kvalitāti un stiprinās Latvijas augsta potenciāla un viedās specializācijas stratēģijai atbilstošus nozaru uzņēmumus, pilnveidojot to nodarbināto prasmes.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ietekme uz tautsaimniecību vērtējama kā pozitīva, jo tiks sekmētas nodarbināto apmācības un celta to kvalifikācija. Apmācības ļaus sekmēt inovācijas komersantos, palielinās komersantu konkurētspēju, eksportspēju, kvalitāti un stiprinās Latvijas augsta potenciāla un viedās specializācijas stratēģijai atbilstošus nozaru uzņēmumus, pilnveidojot to nodarbināto prasmes.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ietekme uz tautsaimniecību vērtējama kā pozitīva, jo tiks sekmētas nodarbināto apmācības un celta to kvalifikācija. Apmācības ļaus sekmēt inovācijas komersantos, palielinās komersantu konkurētspēju, eksportspēju, kvalitāti un stiprinās Latvijas augsta potenciāla un viedās specializācijas stratēģijai atbilstošus nozaru uzņēmumus, pilnveidojot to nodarbināto prasmes.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( 2013. gada 18. decembris )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pielikums un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31. pants un 31.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( 2013. gada 18. decembris )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27. oktobrī Noteikumu projekts tika izsūtīts projektu īstenotājiem, kas atbild par pasākuma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nepieciešamība tiek atbalstīta.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“Vienlīdzīgas iespējas”. Pasākuma ietvaros projekta vadības un īstenošanas darbības (kur attiecināms) tiks īstenotas pielāgotās telpās personām ar invaliditāti, nodrošinot nepieciešamo aprīkojumu iekļūšanai telpās un pielāgotas informācijas tehnoloģijas,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projektos tiks īstenotas vispārīgas HP darbības, kas veicina dzimumu līdztiesību, nediskrimināciju un personu ar invaliditāti vienlīdzīgas iespējas. Īstenojot projekta komunikācijas aktivitātes, tiks izvēlēta valoda un vizuālie tēli, kas mazina diskrimināciju un stereotipu veidošanos.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21-TA-1522</w:t>
    </w:r>
    <w:r>
      <w:br/>
    </w:r>
    <w:r w:rsidR="00000000" w:rsidRPr="00000000" w:rsidDel="00000000">
      <w:rPr>
        <w:rtl w:val="0"/>
      </w:rPr>
      <w:t xml:space="preserve">Izdrukāts 29.07.2026. 23.31 - 3.0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21-TA-1522</w:t>
    </w:r>
    <w:r>
      <w:br/>
    </w:r>
    <w:r w:rsidR="00000000" w:rsidRPr="00000000" w:rsidDel="00000000">
      <w:rPr>
        <w:rtl w:val="0"/>
      </w:rPr>
      <w:t xml:space="preserve">Izdrukāts 29.07.2026. 23.31 - 3.0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anotācija_(ex_ante)_21-TA-1522.docx</dc:title>
</cp:coreProperties>
</file>

<file path=docProps/custom.xml><?xml version="1.0" encoding="utf-8"?>
<Properties xmlns="http://schemas.openxmlformats.org/officeDocument/2006/custom-properties" xmlns:vt="http://schemas.openxmlformats.org/officeDocument/2006/docPropsVTypes"/>
</file>