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Partnerības nolīgumu starp Eiropas Savienību un tās dalībvalstīm, no vienas puses, un Āfrikas, Karību jūras reģiona un Klusā okeāna valstu organizācijas dalībvalstīm, no otras puses"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un tās dalībvalstu, no vienas puses, un Āfrikas, Karību jūras reģiona un Klusā okeāna valstu organizācijas (turpmāk - OACPS) dalībvalstu, no otras puses Partnerības Nolīgums (turpmāk - Nolīgums) jeb “post-Kotonū” nolīgums parakstīts Apijā, Samoa 2023. gada 15. novembrī. ES dalībvalstīm, tostarp Latvijai, jāratificē Nolīgums, lai tas stātos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apstiprināt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"Post-Kotonū” nolīgums (turpmāk - Nolīgums) ir jauns partnerības nolīgums starp ES un tās dalībvalstīm un OACPS dalībvalstīm. Kopš 2000. gada tiesiskais regulējums bija Partnerattiecību nolīgums starp Āfrikas, Karību jūras reģiona un Klusā okeāna (turpmāk – ĀKK) valstu grupas locekļiem un Eiropas Kopienu un tās dalībvalstīm, no otras puses (turpmāk – Kotonū nolīgums), kas parakstīts Kotonū. Kotonū nolīgums (pārskatīts 2005. un 2010. gadā), - zaudēja spēku 2020. gadā. Tā piemērošana uz noteiktu laiku tika pagarināta piecas reizes un pēdējo reizi līdz 2023.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 vienošanās par jaunā nolīguma tekstu tika panākta jau 2020. gada decembrī, kā arī tas ir parafēts 2021. gada aprīlī. 2023. gada 20. jūlijā ES Padome pieņēma lēmumu 2023/2861, par to, lai ES vārdā parakstītu un provizoriski piemērotu Nolīgumu. 2023. gada 15. novembrī Nolīgums parakstīts Apijā, Samoa.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Nolīguma 98. pantu līgums stājas spēkā otrā mēneša pirmajā dienā pēc tās dienas, kad Eiropas Savienība un tās dalībvalstis un vismaz divas trešdaļas OACPS dalībvalstu šim nolūkam ir pabeigušas savas attiecīgās iekšējās procedūras un deponējušas savus instrumentus, kuros pausta piekrišana uzņemties saistības. Saskaņā ar likumu Par Latvijas Republikas starptautiskajiem līgumiem 9. panta pirmo daļu šis starptautiskais līgums ir apstiprināms Saeimā.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labojumu verbālprocesu, kuru apstiprinājis Eiropas Savienības Padomes Ģenerālsekretārs 2024. gada 11.novembrī, Kubas Republika un Ekvatoriālās Gvinejas Republika izstājās no Nolīguma dalībvalstu saraksta. Visas pārējās nolīguma dalībvalstis ir to parakstījušas un var tik uzsākts Nolīguma ratifikācijas process ES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atbalsta jaunā ES-OACPS Partnerattiecību Nolīguma ratificēšanu. Svarīgi ir modernizēt attiecību ietvaru, pielāgot to mūsdienu realitātei un globāliem izaicinājumiem un diferencēt turpmākās attiecības ar katru no reģioniem. Latvija atbalsta pragmatisku, efektīvu un uz rezultātu balstītu attiecību veidošanu, kas atbilst ES stratēģiskajiem un politiskajiem mērķiem. Latvijas nostāja balstās 2021. gada 16. novembrī Ministru kabinetā apstiprinātajā pozīcijā nr. 3 “Par priekšlikumu Padomes lēmumam par to, lai Eiropas Savienības vārdā parakstītu un provizoriski piemērotu Partnerības nolīgumu starp Eiropas Savienību un tās dalībvalstīm, no vienas puses, un Āfrikas, Karību jūras reģiona un Klusā okeāna valstu organizācijas (OACPS) dalībvalstīm, no otras puses”. Vienlaikus Saeimas Eiropas lietu komisija nacionālo pozīciju apstiprināja 2021. gada 17. novembrī.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situāciju, kas saistās ar Krievijas agresiju pret Ukrainu un tās radītajām globālajām sekām, kā arī centieniem apšaubīt pašreizējo starptautisko kārtību, ES un tās dalībvalstis apzinās nepieciešamību veidot ciešākus kontaktus ar OACPS dalībvalstīm. Jaunais nolīgums veidotu partnerību starp vairāk kā 100 valstīm ar 1,5 miljardiem iedzīvotāju, kas atrodas četros kontinentos.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Modernizēts nolīgums veido juridisku partnerības ietvaru, kas atjauno ES un OACPS dalībvalstu attiecības un atspoguļo ambīcijas, kas balstās jaunās vajadzībās un izaicinājumos. Kopš 2000. gada pasaule ir savstarpēji saistīta vairāk kā jebkad agrāk un kopīgās vēlmes ir mainījušās kopš stājās spēkā Kotonū nolīgums.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Nolīgumu veido vispārīgā daļa (I līdz VI daļa), trīs reģionālie protokoli un divi pielikumi. Nolīgums atspoguļo vispārējos principus, mērķus, ko atspoguļo nolīguma I daļas 1. pants, un nosacījumus, uz kuriem būs balstītas ES un OACPS dalībvalstu turpmākās partnerattiecības (I daļa). Tas ietver šādus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aizsargāt un īstenot cilvēktiesības, demokrātijas principus, tiesiskumu un labu pārvaldību, īpašu uzmanību pievēršot dzimumu līdztiesībai;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veidot miermīlīgas un noturīgas valstis un sabiedrību, novēršot pašreizējos un jaunus draudus mieram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veicināt humāno un sociālo attīstību un jo īpaši izskaust nabadzību un novērst nevienlīdzību, nodrošinot cilvēka cienīgu dzīvi un to, ka neviens netiek atstāts novārtā, īpašu uzmanību pievēršot sievietēm un meitenēm;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mobilizēt ieguldījumus, atbalstīt tirdzniecību un veicināt privātā sektora attīstību, lai panāktu ilgtspējīgu un iekļaujošu izaugsmi un radītu pienācīgas darbavietas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cīnīties pret klimata pārmaiņām, aizsargāt vidi un nodrošināt dabas resursu ilgtspējīgu apsaimniekošanu,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īstenot visaptverošu un līdzsvarotu pieeju migrācijai, lai varētu izmantot drošas, sakārtotas un likumīgas migrācijas un mobilitātes sniegtos ieguvumus, un apturēt neatbilstīgu migrāciju, vienlaikus novēršot tās pamatcēloņus, pilnībā ievērojot starptautiskās tiesības un saskaņā ar Pušu attiecīgajām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Nolīgumā paredzēta sadarbība sešās galvenās stratēģiskās prioritātēs: cilvēktiesības, demokrātija un pārvaldība, uz cilvēkiem orientētas un uz tiesībām balstītas sabiedrības; miers un drošība; humānā un sociālā attīstība; iekļaujoša ilgtspējīga ekonomikas izaugsme un attīstība; vides ilgtspēja un klimata pārmaiņas; migrācija un mobilitāte (II daļa). Papildus abas puses atkārtoti apstiprina, cik svarīgi ir sadarboties starptautiskā līmenī, lai veicinātu un aizstāvētu to kopīgās intereses un saglabātu un stiprinātu multilaterālismu (III daļa). Nolīguma pēdējās daļas nosaka sadarbības līdzekļus un īstenošanu, kas balstās partnerībās (IV daļa), kā arī institucionālo satvaru, t.sk. izveidojot kopīgas institūcijas OACPS dalībvalstu un ES Puses līmenī: OACPS un ES Ministru padome, OACPS un ES Vēstnieku līmeņa augstāko amatpersonu komiteja (OACPS un ES ALSOC) un OACPS un ES Apvienotā parlamentārā asambleja (V daļa). Nobeiguma noteikumi sniedz sīkāku informāciju par nolīguma piemērošanu (VI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katra reģiona valstīm un ES ir trīs reģionālie protokoli. Katrs protokols ir pielāgots konkrētā reģiona vajadzībām, dinamikai un problēmu risināšanai. Sekojošas prioritātes ES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Āfrikas reģiona valstīm: iekļaujoša un ilgtspējīga ekonomikas izaugsme un attīstība; humānā un sociālā attīstība; vide, dabas resursu pārvaldība un klimata pārmaiņas; miers un drošība; cilvēktiesības, demokrātija un pārvaldība; migrācija un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Karību jūras reģiona valstīm: stiprināt politisko partnerību; iekļaujoša un ilgtspējīga ekonomikas izaugsme un attīstība; vides ilgtspēja, klimatnoturība un dabas resursu ilgtspējīga pārvaldība; veidot iekļaujošas, miermīlīgas un drošas sabiedrības, īpašu uzmanību pievēršot cilvēktiesībām un dzimumu līdztiesībai, pārvaldība, miers un drošība; ieguldīt humānajā un sociālajā attīstībā, novērst nabadzību un pieaugošo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Klusā okeāna valstīm: stiprināt politisko partnerību; vides ilgtspēja un klimatnoturība; demokrātiskas, miermīlīgas un uz tiesībām balstītas sabiedrības, laba pārvaldība un tiesiskums, cilvēktiesības; iekļaujoša un ilgtspējīga ekonomikas attīstība; okeāni, jūras un zvejniecība; humānā un sociālā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pielikumi ietver atgriešanas un atpakaļuzņemšanas procesus (I pielikums) un Eiropas Investīciju bankas darbības (II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 ziņā Nolīgums ar OACPS dalībvalstīm ir nozīmīgs solis nolūkā stiprināt ES lomu ĀKK valstīs, pamatojoties uz tādām kopējām vispārējām vērtībām kā demokrātija un cilvēktiesības. Tas paver ceļu plašākai politiskajai, reģionālajai un globālajai sadarbībai starp partneriem. Šā Nolīguma īstenošana dos praktisku labumu abām pusēm, nodrošinot pamatu plašāku ES politisko interešu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nolīgums ir ES jaukts nolīgums, kurš skar gan ES, gan dalībvalstu kompetencē esošos jautājumus, ir nepieciešama šī nolīguma ratificēšana visās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Latvijas saistībām ES. Nolīgums noslēgts saskaņā ar Līguma par Eiropas Savienības (ES) darbību un konkrēti – tā 217. pantu, kas paredz, ES ar vienu vai vairākām trešajām valstīm vai starptautiskām organizācijām var slēgt asociācijas nolīgumus, kas nosaka savstarpējas tiesības un pienākumus, kopīgu rīcību un īpašu procedūru. Saskaņā ar 218. panta 5. punktu un 8. punkta otro daļu, kas nosaka, ka pēc sarunu vadītāja priekšlikuma Padome pieņem lēmumu, ar kuru atļauj parakstīt nolīgumu un vajadzības gadījumā – to provizoriski piemērot līdz brīdim, kad tas stājas spēkā.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Nolīgumā paredzēto saistību izpildi koordinē Ārlietu ministrija.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23-TA-1907</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23-TA-1907</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anotācija_(ex_ante)_23-TA-1907.docx</dc:title>
</cp:coreProperties>
</file>

<file path=docProps/custom.xml><?xml version="1.0" encoding="utf-8"?>
<Properties xmlns="http://schemas.openxmlformats.org/officeDocument/2006/custom-properties" xmlns:vt="http://schemas.openxmlformats.org/officeDocument/2006/docPropsVTypes"/>
</file>