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Ukrainas civiliedzīvotāju atbalsta likuma 13.1 panta 2. un 3. daļu un Ministru kabineta 2016. gada 26. jūlija noteikumu Nr. 488 "Kārtība, kādā nepilngadīgajiem patvēruma meklētājam nodrošina izglītības ieguves iespējas" 32.</w:t>
      </w:r>
      <w:r w:rsidR="00000000" w:rsidRPr="00000000" w:rsidDel="00000000">
        <w:rPr>
          <w:vertAlign w:val="superscript"/>
          <w:rtl w:val="0"/>
        </w:rPr>
        <w:t xml:space="preserve">2</w:t>
      </w:r>
      <w:r w:rsidR="00000000" w:rsidRPr="00000000" w:rsidDel="00000000">
        <w:rPr>
          <w:rtl w:val="0"/>
        </w:rPr>
        <w:t xml:space="preserve">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sniegt atbalstu Ukrainas civiliedzīvotājiem, kuri uz 2022. gada 1. septembri ir reģistrēti Valsts izglītības informācijas sistēmā ar apakšstatusu "Ukrainas civiliedzīvotājs", lai nodrošinātu finansējumu mācību līdzekļu iegādei laikposmam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Ukrainai nonākot Krievijas aktīvas agresijas kara apstākļos kopš 2022. gada 24. februāra, Latvija uzņēma civiliedzīvotājus, t.sk., arī nepilngadīgus patvēruma meklētājus. Latvijas izglītības iestādes sniedz iespēju šiem patvēruma meklētājiem nodrošināt izglītības ieguves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apkopoja datus par Ukrainas civiliedzīvotājiem, kuri uz 2022. gada 1. septembri ir reģistrēti Valsts izglītības informācijas sistēmā ar apakšstatusu "Ukrainas civiliedzīvotājs" un, atbilstoši Ministru kabineta 2016. gada 26. jūlija noteikumu Nr. 488 "Kārtība, kādā nepilngadīgajiem patvēruma meklētājam nodrošina izglītības ieguves iespējas" 32.</w:t>
      </w:r>
      <w:r w:rsidR="00000000" w:rsidRPr="00000000" w:rsidDel="00000000">
        <w:rPr>
          <w:vertAlign w:val="superscript"/>
          <w:rtl w:val="0"/>
        </w:rPr>
        <w:t xml:space="preserve">2</w:t>
      </w:r>
      <w:r w:rsidR="00000000" w:rsidRPr="00000000" w:rsidDel="00000000">
        <w:rPr>
          <w:rtl w:val="0"/>
        </w:rPr>
        <w:t xml:space="preserve"> punktam, aprēķināja nepieciešamā finansējuma apmēru mācību līdzekļu iegādei. Aprēķins –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nedublē 2022. gada 8. jūnija Ministru kabineta noteikumos Nr. 339 "Noteikumi par primāri sniedzamā atbalsta nodrošināšanu Ukrainas civiliedzīvotājiem" noteikto un, līdz ar to, dubults atbalsta finansējums izglītības iestādēm ir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atbalstīt finansējuma 23 707 </w:t>
      </w:r>
      <w:r w:rsidR="00000000" w:rsidRPr="00000000" w:rsidDel="00000000">
        <w:rPr>
          <w:i w:val="1"/>
          <w:rtl w:val="0"/>
        </w:rPr>
        <w:t xml:space="preserve">euro</w:t>
      </w:r>
      <w:r w:rsidR="00000000" w:rsidRPr="00000000" w:rsidDel="00000000">
        <w:rPr>
          <w:rtl w:val="0"/>
        </w:rPr>
        <w:t xml:space="preserve"> apmērā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Ukrainas civiliedzīvotāju – izglītojamo skaits 01.09.2022. = 3 977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 </w:t>
            </w:r>
            <w:r w:rsidR="00000000" w:rsidRPr="00000000" w:rsidDel="00000000">
              <w:rPr>
                <w:sz w:val="24"/>
                <w:i w:val="1"/>
                <w:rtl w:val="0"/>
              </w:rPr>
              <w:t xml:space="preserve">euro</w:t>
            </w:r>
            <w:r w:rsidR="00000000" w:rsidRPr="00000000" w:rsidDel="00000000">
              <w:rPr>
                <w:sz w:val="24"/>
                <w:rtl w:val="0"/>
              </w:rPr>
              <w:t xml:space="preserve"> vienam izglītojamajam laikposmam no 2022. gada 1. septembra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mācību līdzekļu iegādei = 23 707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finansējuma apmēra aprēķins – anotācijas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Nr.421 "Kārtība, kādā veic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22-TA-3264</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22-TA-3264</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anotācija_(ex_ante)_22-TA-3264.docx</dc:title>
</cp:coreProperties>
</file>

<file path=docProps/custom.xml><?xml version="1.0" encoding="utf-8"?>
<Properties xmlns="http://schemas.openxmlformats.org/officeDocument/2006/custom-properties" xmlns:vt="http://schemas.openxmlformats.org/officeDocument/2006/docPropsVTypes"/>
</file>