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3.2.1. specifiskā atbalsta mērķa "Attīstīt noturīgu aizsardzības infrastruktūru, prioritāri atbalstot divējāda lietojuma infrastruktūru, kā arī uzlabot civilo sagatavotību" 3.2.1.1. pasākuma "Bezpilota lidaparātu uztveršanas, identifikācijas, izsekošanas un pretdarbības risinājuma ieviešana"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3.2.1. specifiskā atbalsta mērķa “Attīstīt noturīgu aizsardzības infrastruktūru, prioritāti atbalstot divējāda lietojuma infrastruktūru, kā arī uzlabot civilo sagatavotību” 3.2.1.1. pasākuma “Bezpilota lidaparātu uztveršanas, identifikācijas, izsekošanas un pretdarbības risinājuma ieviešana” īstenošanas noteikumi” (turpmāk – Noteikumu projekts) izstrādāts, pamatojoties uz Eiropas Savienības (turpmāk – ES) fondu 2021.–2027. gada plānošanas perioda vadības likuma 19. panta 6. un 13. punktu, kā arī Ministru kabineta 15.04.2025. sēdes protokola Nr.15 50.§ 3.punktā doto uzdevumu.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uzlabot valsts akciju sabiedrības “Starptautiskā lidosta “Rīga””  (turpmāk - Rīgas lidosta) spējas uztvert, identificēt, izsekot un pretdarboties bezpilota lidaparātiem, kas veic nesankcionētus lidojumus gaisa satiksmes kritiskajās zonās un Rīgas lidostas teritorijā, kuru noteikusi valsts aģentūra “Civilās aviācijas aģentūra” sadarbībā ar lidlauka īpašnieku vai valdītāju un gaisa satiksmes pakalpojumu sniedzēju, ņemot vērā pieaugošos riskus, ko rada nesankcionēta bezpilotu lidaparātu izmantošana.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lidosta ir svarīga valsts līmeņa infrastruktūra, kuras ietekmēšana, iznīcināšana vai darbības spēju samazināšana apgrūtina valsts funkciju īstenošanu, kā arī apdraud sabiedrības un valsts drošību. Bezpilota lidaparāti rada arvien nopietnāku apdraudējumu drošībai. Strauji mainīgās tehnoloģijas prasa nekavējošu rīcību izstrādāt efektīvus un visaptverošus risinājumus, kas mazina apdraudējumu pasažieriem, civilai aviācijai un kritiskās infrastruktūras objektiem. Tādēļ ir nepieciešams uzlabot Rīgas lidostas spējas uztvert, identificēt, izsekot un pretdarboties bezpilota lidaparātiem, kas veic neatļautus lidojumus gaisa satiksmes kritiskajās zonās un Rīgas lidlauka teritorijā. Minēto problēmu aktualizēja 2025. gada 13.janvāra bezpilota lidaparātu incidents Rīgas lidostā, saistībā ar ko šis jautājums tika izskatīts Nacionālas aviācijas drošības komisijas 2025. gada 3. februāra ārkārtas sēdē, panākot vienotu izpratni par turpmāko nepieciešamo rīcību.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Bezpilota lidaparāti rada arvien nopietnāku apdraudējumu Rīgas lidostas drošībai un drošumam, līdz ar to ir nepieciešams uzlabot Rīgas lidostas spējas uztvert, identificēt, izsekot un pretdarboties bezpilota lidaparātiem, kas veic neatļautus lidojumus gaisa satiksmes kritiskajās zonās un Rīgas lidlauka teritorijā. Nesankcionēti bezpilota lidaparātu lidojumi var apdraudēt pasažieru un aviācijas drošību, izraisīt lidojumu traucējumus un iespējamu lidostas darbības apturēšanu, kā arī radīt potenciālus draudus nacionālajai drošībai, ņemot vērā arī reģionālo ģeopolitisko situāciju.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inovatīvu kompleksu tehnoloģisko risinājumu ieviešanu, kas nodrošinās bezpilota lidaparātu izsekošanas un pretdarbības pasākumus, lai nepieciešamības gadījumā neitralizētu nesankcionētus bezpilota lidaparātus.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īstenotas šādas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 infrastruktūru bezpilota lidaparātu uztveršanai;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aprīkot lidostu ar sensoriem;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nepieciešamo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augstas kapacitātes datu pārraidi.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izvēlēts izpildot Ministru prezidentes E. Siliņas 2025. gada 29. janvāra rezolūcijā Nr. 2025-1.1.1./6-6 doto uzdevumu un Ministru kabineta 15.04.2025. sēdē apstiprināto informatīvo ziņojumu "Par rīcību VAS "Starptautiskā lidosta "Rīga"" aizsardzībai pret nesankcionētu bezpilota lidaparātu lidojumiem" (sēdes protokols Nr.15, 50. §, 25-TA-483 (IP)).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Komunikācijas un vizuālās identitātes pasākumu nodrošināšanā, pasākuma īstenotājs ņem vērā Eiropas Savienības fondu 2021.-2027. gada plānošanas perioda un Atveseļošanas fonda komunikācijas un dizaina vadlīnijas.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1.Plānotais pasākums atbilst Komisijas paziņojuma Pamatnostādnes par valsts atbalstu lidostām un aviokompānijām (2014/C99/03) (turpmāk - Komisijas paziņojums) 35. un 36.punktam, kā rezultātā plānotais atbalsts Rīgas lidostai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2.Komisijas paziņojuma 37.punkta izpildes ietvaros, plānotais atbalsts neradīs nepamatotu diskrimināciju starp lidostām un Rīgas lidostai netiks piešķirta priekšrocībā attiecībā pret pārejām lidostām jo plānotais atbalsts tiek piešķirts ar saimniecisko darbību nesaistītām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3.Vienlaikus Ministru kabineta 15.04.2025. sēdē apstiprinātajā informatīvajā ziņojumā "Par rīcību VAS "Starptautiskā lidosta "Rīga"" aizsardzībai pret nesankcionētu bezpilota lidaparātu lidojumiem" (sēdes protokols Nr.15, 50. §, 25-TA-483 (IP)) noteikts, ka projekta finansēšanai var piešķirt valsts budžeta līdzekļus, jo uz šo publisko līdzekļu izlietojumu ir attiecināms Eiropas Komisijas paziņojuma “Pamatnostādnes par valsts atbalstu lidostām un aviokompānijām” (2014/C 99/03) regulējums, konkrēti 35.- 37. punkts, jo valsts budžeta finansējums izmantojams vienīgi, lai nodrošinātu valsts drošības interešu aizsardzību. Minētajās pamatnostādnēs norādītais ir attiecināms uz plānoto projektu, kura ietvaros tiks īstenotas darbības, kuras valsts parasti veic, īstenojot savas publiskās pilnvaras (proti, aizsardzībai, kas nepieciešams, lai novērstu draudus sabiedrībai). Šāda veida darbības netiek uzskatītas par saimnieciskas dabas aktivitātēm un to finansēšana secīgi tiek izslēgta no valsts atbalsta noteikumu piemērošanas jomas. Finansējuma piešķiršana projektam neietilpst valsts atbalsta noteikumos, jo sedz izmaksas, kas saistītas ar darbībām, kas nav saistītas ar uzņēmuma saimniecisko  darbību un šāds finansējums nerada nepamatotu diskrimināciju starp citām lidostām. Tāpat, plānotais finansējums, kas tiek nodrošināts darbībām, kas nav vērtējamas kā saimnieciskā darbība, netiek izmantots, lai subsidētu Rīgas lidostas saimniecisko darbību. Vadoties no minētā, valsts budžeta finansējuma izmantošana šim projektam ir tiešā mērā saistīta ar valsts varas īstenošanu aizsardzības jomā. Pēc analoģijas, vērā būtu jāņem arī Starptautiskās civilās aviācijas organizācijas (turpmāk – ICAO) izstrādātajā politikā par lidostas un aeronavigācijas maksām (Doc 9082, 9. izdevums – 2012: ICAO’s Policies on Charges for Airports and Air Navigation Services) un ICAO Lidostas Ekonomikas vadlīnijās norādītais, no kura izriet pamatprincips, atbilstoši kuram civilajai aviācijai nebūtu jāsedz izmaksas, kas rodas saistībā ar vispārējām drošības funkcijām, kuras īsteno valsts, kā, piemēram, vispārējās kārtības uzturēšana, izlūkdatu vākšana un nacionālā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4.Satiksmes ministrija nodrošinās Komisijas paziņojuma 37. punktā noteikto prasību izpildi, un Komisijas paziņojuma 37. punkta izpildes ietvaros plānotais atbalsts neradīs nepamatotu diskrimināciju starp lidostām, jo arī pārējām lidostām Latvijā varētu būt iespēja saņemt publiskus līdzekļus līdzīgām darbībām, kas saistītas ar lidostu un to pasažieru drošību, iestājoties analoģiskiem riskiem, kas var būt par pamatu atbilstoša informatīvā ziņojuma virzīšanai Ministru kabinetā, lēmumu pieņemšanai par publisku līdzekļu piešķiršanu, tādējādi nodrošinot  nediskriminējošu attieksmi  attiecībā uz citām reģionālajām lidostām.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izmaksas tiek plānotas atbilstoši Eiropas Parlamenta un Padomes Regula (ES) 2021/1058 (2021. gada 24. jūnijs) par Eiropas Reģionālās attīstības fondu un Kohēzijas fondu 3.pantā noteiktajam konkrētajam mērķim - attīstīt noturīgu aizsardzības infrastruktūru, prioritāti piešķirot divējāda lietojuma infrastruktūrai, tostarp veicināt militāro mobilitāti Savienībā, kā arī uzlabot civilo sagatavotību. Izmaksas tiek plānotas 197. intervences kodā t.i. "Kritiski svarīgās infrastruktūras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saņēmēja iekšējās kontroles sistēma ietver informāciju par interešu konflikta, krāpšanas, korupcijas risku un dubultā finansējuma novēršanas mehānismu. Finansējuma saņēmējs nepieciešamības gadījumā aktualizē esošo iekšējās kontroles sistēmu, nodrošinot atbilstību Noteikumu projektā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īstenojot projektu, nodrošina dubultā finansējuma neiestāšanos, kā arī nodrošina, ka projektā plānotās attiecināmās izmaksas netiek finansētas vai līdzfinansētas un tās nav plānots finansēt vai līdzfinansēt no citiem valsts un ārvalstu finanšu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nodrošina, lai pasākuma īstenošanas laikā nekustamie īpašumi, kuri nepieciešami projekta īstenošanai, ir finansējuma saņēmēja īpašumā vai lietošanā. Ja pasākuma ietvaros nepieciešams veikt būvniecību, to veic uz zemesgrāmatā ierakstītas lietu tiesības pamata, saskaņojot būvniecības ieceri ar projekta īstenošanai nepieciešamo nekustamo īpašumu īpašniekiem atbilstoši normatīvo aktu nosacījumiem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kā ES fondu vadošās iestādes atlases metodikas Nr. 3.1. “Eiropas Reģionālās attīstības fonda, Eiropas Sociālā fonda plus, Kohēzijas fonda un Taisnīgas pārkārtošanās fonda projektu iesniegumu atlases metodika 2021.–2027.gadam” 9. punktu Satiksmes ministrija 2025. gada martā iesniedza Finanšu ministrijai priekšlikumu iekļaut ierobežotas projektu iesniegumu atlases izņēmumu sarakstā 1.3.1.4. (šobrīd 3.2.1.1.) pasākumu, lūdzot nodrošināt papildinātā izņēmumu saraksta virzību apstiprināšanai ES fondu Uzraudzības komitejas 2021.-2027.gadam rakstiskajā procedūrā. Ar ES fondu Uzraudzības komitejas 2021.-2027.gadam 2025.gada 9.jūnija lēmumu Nr.2025/5.2-6/16/41 1.3.1.4. (šobrīd 3.2.1.1.) pasākums ir iekļauts sarakstā “Ierobežotas projektu iesniegumu atlases, kurām piemērojams izņēmums attiecībā uz vienoto izvēles kritēriju un vienoto kritēriju izmantošanu”. Izvēlētais risinājums ļauj operatīvi veikt 3.2.1.1. pasākuma projektu iesniegumu atlasi, lai bezpilota lidaparātu uztveršanas, identifikācijas, izsekošanas un pretdarbības risinājuma ieviešanai varētu piesaistīt Eiropas Savienības fondu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attiecas uz gaisa satiksmes dalībniekiem, kā arī uz iedzīvotājiem kopumā. Pasākuma ietvaros īstenoto darbību rezultātā tiks uzlabotas Rīgas lidostas spējas uztvert, identificēt, izsekot un pretdarboties bezpilota lidaparātiem, kas veic nesankcionētus lidojumus gaisa satiksmes kritiskajās zonās un Rīgas lidostas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pildīs Eiropas Savienības fondu 2021.–2027.gada plānošanas perioda atbildīgās iestādes funkcijas, savukārt, Rīgas lidosta pildīs finansējuma saņēmēja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Ieguldījums bezpilota lidaparātu uztveršanas, identifikācijas, izsekošanas un pretdarbības risinājuma ieviešanā būtiski uzlabos Rīgas lidostas spējas uztvert, identificēt, izsekot un pretdarboties bezpilota lidaparātiem, kas veic nesankcionētus lidojumus gaisa satiksmes kritiskajās zonās un Rīgas lidostas teritorijā, tādējādi novēršot apdraudējumu pasažieru un aviācijas drošībai, vienlaikus novērsīs  lidojumu traucējumus un iespējamu lidostas darbības apturēšanu, kā arī novērsīs potenciālus draudus nacionālajai drošībai, ņemot vērā arī reģionālo ģeopolitisko situāciju.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sistēma stiprina ne tikai Rīgas lidostas noturību un drošību, bet arī sniedz būtisku ieguldījumu tautsaimniecībā. Rīgas lidosta kā Baltijas reģiona vadošais aviācijas mezgls ir kritiski svarīgs transporta un loģistikas infrastruktūras elements, kas nodrošina starptautisko mobilitāti, pasažieru, kravu, kā arī militāro lidojumu plūsmu. Rīgas lidostas darbības nepārtrauktība un drošība tieši ietekmē ārējo tirdzniecību, tūrisma nozari, investīciju vidi un valsts tēlu.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makroekonomiskās perspektīvas – jebkādi traucējumi Rīgas lidostas darbībā var radīt domino efektu, kas ietekmē iekšzemes kopproduktu (IKP), nodarbinātības līmeni un valsts budžeta ieņēmumus. Piemēram, Rīgas lidostas darbības apturēšana uz vienu diennakti var izraisīt: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nekā 150 reisu atcelšanu vai novirzīšanu, tiešus zaudējumus aviokompānijām, pasažieriem un kravu nosūtītājiem vairāku miljonu </w:t>
      </w:r>
      <w:r w:rsidR="00000000" w:rsidRPr="00000000" w:rsidDel="00000000">
        <w:rPr>
          <w:i w:val="1"/>
          <w:rtl w:val="0"/>
        </w:rPr>
        <w:t xml:space="preserve">euro</w:t>
      </w:r>
      <w:r w:rsidR="00000000" w:rsidRPr="00000000" w:rsidDel="00000000">
        <w:rPr>
          <w:rtl w:val="0"/>
        </w:rPr>
        <w:t xml:space="preserve"> apmērā, radīt negūtos ieņēmumos Rīgas lidostai (piemēram, no pasažieru, lidojumu, stāvvietu un citām gaisa kuģu apkalpošanas 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radīt netiešos zaudējumus tūrisma, viesmīlības, transporta un loģistikas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negatīvu ietekmi uz valsts reputāciju kā drošu tranzīta un investīciju galamērķi.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lidostas darbības pārtraukšana pat īslaicīgi var atstāt jūtamu ietekmi uz Latvijas makroekonomisko vidi, jo aviācijas nozares stabilitāte ir cieši saistīta ar eksportu, pakalpojumu sektoru, nodarbinātību un starptautiskās konkurētspējas noturību. Tāpēc ieguldījums drošības tehnoloģiju ieviešanā ir stratēģisks solis gan ekonomiskās noturības, gan valsts drošības stiprināšanai ilgtermiņā.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1 739 936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71 642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1 739 936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71 642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1 739 936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71 642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1 739 936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71 642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kopējais plānotais finansējums ir 2 420 500 </w:t>
            </w:r>
            <w:r w:rsidR="00000000" w:rsidRPr="00000000" w:rsidDel="00000000">
              <w:rPr>
                <w:sz w:val="24"/>
                <w:i w:val="1"/>
                <w:rtl w:val="0"/>
              </w:rPr>
              <w:t xml:space="preserve">euro</w:t>
            </w:r>
            <w:r w:rsidR="00000000" w:rsidRPr="00000000" w:rsidDel="00000000">
              <w:rPr>
                <w:sz w:val="24"/>
                <w:rtl w:val="0"/>
              </w:rPr>
              <w:t xml:space="preserve">, tai skaitā Eiropas Reģionālās attīstības fonda finansējums ne vairāk kā 1 954 863 </w:t>
            </w:r>
            <w:r w:rsidR="00000000" w:rsidRPr="00000000" w:rsidDel="00000000">
              <w:rPr>
                <w:sz w:val="24"/>
                <w:i w:val="1"/>
                <w:rtl w:val="0"/>
              </w:rPr>
              <w:t xml:space="preserve">euro</w:t>
            </w:r>
            <w:r w:rsidR="00000000" w:rsidRPr="00000000" w:rsidDel="00000000">
              <w:rPr>
                <w:sz w:val="24"/>
                <w:rtl w:val="0"/>
              </w:rPr>
              <w:t xml:space="preserve"> un privātais līdzfinansējums – 465 637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Reģionālās attīstības fonda finansējuma intensitāte nepārsniedz 85 % no projektam plānotā kopējā attiecināmā finansējuma, un privātais līdzfinansējums nav mazāks par 15 % no projektam plānotā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plānotais kopējais attiecināmais finansējums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2 154 379 </w:t>
            </w:r>
            <w:r w:rsidR="00000000" w:rsidRPr="00000000" w:rsidDel="00000000">
              <w:rPr>
                <w:sz w:val="24"/>
                <w:i w:val="1"/>
                <w:rtl w:val="0"/>
              </w:rPr>
              <w:t xml:space="preserve">euro</w:t>
            </w:r>
            <w:r w:rsidR="00000000" w:rsidRPr="00000000" w:rsidDel="00000000">
              <w:rPr>
                <w:sz w:val="24"/>
                <w:rtl w:val="0"/>
              </w:rPr>
              <w:t xml:space="preserve">, t.sk. ERAF  1 739 936 </w:t>
            </w:r>
            <w:r w:rsidR="00000000" w:rsidRPr="00000000" w:rsidDel="00000000">
              <w:rPr>
                <w:sz w:val="24"/>
                <w:i w:val="1"/>
                <w:rtl w:val="0"/>
              </w:rPr>
              <w:t xml:space="preserve">euro</w:t>
            </w:r>
            <w:r w:rsidR="00000000" w:rsidRPr="00000000" w:rsidDel="00000000">
              <w:rPr>
                <w:sz w:val="24"/>
                <w:rtl w:val="0"/>
              </w:rPr>
              <w:t xml:space="preserve">, privātais finansējums  414 443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88 707 </w:t>
            </w:r>
            <w:r w:rsidR="00000000" w:rsidRPr="00000000" w:rsidDel="00000000">
              <w:rPr>
                <w:sz w:val="24"/>
                <w:i w:val="1"/>
                <w:rtl w:val="0"/>
              </w:rPr>
              <w:t xml:space="preserve">euro</w:t>
            </w:r>
            <w:r w:rsidR="00000000" w:rsidRPr="00000000" w:rsidDel="00000000">
              <w:rPr>
                <w:sz w:val="24"/>
                <w:rtl w:val="0"/>
              </w:rPr>
              <w:t xml:space="preserve">, t.sk. ERAF  71 642, privātais finansējums  17 065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88 707 </w:t>
            </w:r>
            <w:r w:rsidR="00000000" w:rsidRPr="00000000" w:rsidDel="00000000">
              <w:rPr>
                <w:sz w:val="24"/>
                <w:i w:val="1"/>
                <w:rtl w:val="0"/>
              </w:rPr>
              <w:t xml:space="preserve">euro</w:t>
            </w:r>
            <w:r w:rsidR="00000000" w:rsidRPr="00000000" w:rsidDel="00000000">
              <w:rPr>
                <w:sz w:val="24"/>
                <w:rtl w:val="0"/>
              </w:rPr>
              <w:t xml:space="preserve">, t.sk. ERAF  71 642, privātais finansējums  17 065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 – 88 707 euro, t.sk. ERAF  71 643, privātais finansējums  17 064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 atbilstoši pasākuma ietvaros paredzēto projekta darbību īstenošanai faktiski nepieciešamajam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2024.gada 23.septembra Regula (ES, Euratom) Nr.2024/2509, par finanšu noteikumiem, ko piemēro Savienības vispārējam budžetam.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2021/1060 54. panta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2021/1060 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2021/1060 63.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2021/1060 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2021/1060 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2024.gada 23.septembra Regula (ES, Euratom) Nr.2024/2509, par finanšu noteikumiem, ko piemēro Savienības vispārējam budžetam.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https://tapportals.mk.gov.lv/public_participation/fded657f-da3c-4502-9873-aabba10eb2a2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tika nodrošināta sabiedrības pārstāvju un nozares/ jomas pārstāvošu biedrību, nodibinājumu, nevalstisko organizāciju iesaiste, nododot noteikumu projektu publiskā apspriešanā (sabiedrības līdzdalības organizēšana), kā arī nodrošinot iespēju sniegt viedokli par noteikumu projektu Tiesību aktu projektu publiskajā portālā.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"Starptautiskā lidosta "RĪGA""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Ieguldījums bezpilota lidaparātu uztveršanas, identifikācijas, izsekošanas un pretdarbības risinājuma ieviešanā būtiski uzlabos Rīgas lidostas spējas uztvert, identificēt, izsekot un pretdarboties bezpilota lidaparātiem, kas veic nesankcionētus lidojumus gaisa satiksmes kritiskajās zonās un Rīgas lidostas teritorijā, tādējādi novēršot apdraudējumu pasažieru un aviācijas drošībai, vienlaikus novērsīs  lidojumu traucējumus un iespējamu lidostas darbības apturēšanu, kā arī novērsīs potenciālus draudus nacionālajai drošībai, ņemot vērā arī reģionālo ģeopolitisko situāciju.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plānotie ieguldījumi neparedz negatīvu ietekmi uz esošajiem klimatiskajiem apstākļiem, kā arī nepalielina riskus, kas saistīti ar nākotnes klimata pārmaiņu radītajām sekām attiecībā uz pašu pasākumu, cilvēkresursiem, dabas vidi vai materiālajiem aktīviem, tostarp infrastruktūru.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projekta 16.7. apakšpunktā noteiktās darbības un izmaksas, kas ietver arī jaunas būves būvniecību, esošās būves pārbūvi un atjaunošanu, pasākumam ir tieša pozitīva ietekme uz horizontālo principu "Klimatdrošināšana".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uz horizontālo principu "Vienlīdzība, iekļaušana, nediskriminācija un pamattiesību ievērošana". Vienlaikus, lai  nodrošinātu, ka projekta īstenošanā tiek veicināta vienlīdzība, iekļaušana, nediskriminācija un  ievērotas  pamattiesības, projekta iesnieguma vērtēšanā tiks vērtēts, vai projekta iesniegumā ir paredzēta vismaz viena vispārīgā darbība, kas attiecas uz publicitāti, personālu vai publiskajiem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 uz horizontālo principu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horizontālo principu “Nenodarīt būtisku kaitējumu” (NBK) un “Energoefektivitāte pirmajā vietā” pasākumam nav paredzamas ietekmes uz vides mērķi vai paredzamā ietekme ir nebūtiska saistībā ar pasākuma tiešajām un primārajām netiešajam sekām visā tā dzīves ciklā, ņemot vērā tā būtību, un tādējādi tas tiek uzskatīts par atbilstīgu NBK attiecībā uz attiecīgo mērķi.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25-TA-1859</w:t>
    </w:r>
    <w:r>
      <w:br/>
    </w:r>
    <w:r w:rsidR="00000000" w:rsidRPr="00000000" w:rsidDel="00000000">
      <w:rPr>
        <w:rtl w:val="0"/>
      </w:rPr>
      <w:t xml:space="preserve">Izdrukāts 29.07.2026. 23.15 - 5.0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25-TA-1859</w:t>
    </w:r>
    <w:r>
      <w:br/>
    </w:r>
    <w:r w:rsidR="00000000" w:rsidRPr="00000000" w:rsidDel="00000000">
      <w:rPr>
        <w:rtl w:val="0"/>
      </w:rPr>
      <w:t xml:space="preserve">Izdrukāts 29.07.2026. 23.15 - 5.0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anotācija_(ex_ante)_25-TA-1859.docx</dc:title>
</cp:coreProperties>
</file>

<file path=docProps/custom.xml><?xml version="1.0" encoding="utf-8"?>
<Properties xmlns="http://schemas.openxmlformats.org/officeDocument/2006/custom-properties" xmlns:vt="http://schemas.openxmlformats.org/officeDocument/2006/docPropsVTypes"/>
</file>