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10. oktobra noteikumos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izdarītu grozījumus Ministru kabineta 2023. gada 10. oktobra noteikumos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jaunā Latvijas Kopējās lauksaimniecības politikas stratēģiskā plāna 2023.–2027. gadam (turpmāk – KLP SP) īstenošanas uzsākšanu, intervencē "Darbību īstenošana saskaņā ar sabiedrības virzītas vietējās attīstības stratēģiju, tostarp sadarbības aktivitātes un to sagatavošana" (turpmāk – intervence) 2024. gadā visas 33 vietējās rīcības grupas  izsludināja vienu vai vairākas projektu iesniegumu pieņemšanas kārtas saskaņā ar savām sabiedrības virzītas vietējās attīstības stratēģijām 2023.-2027.gadam (turpmāk - SVVA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Atgriezeniskā saite, kas gūta no vietējām rīcības grupām intervences pirmajā īstenošanas gadā, kā arī īstenoto projektu pieņemšanas kārtu rezultāti, kas iezīmē situāciju, kurā atbalsta pretendentu aktivitāte ir zemāka nekā iepriekšējā plānošanas periodā, īpaši attiecībā uz uzņēmējdarbības projektiem, norāda uz vajadzību paplašināt atbalsta pretendentu loku un precizēt atsevišķus atbalsta saņemšanas nosacījumus, lai sekmētu atbalsta pretendentu iespējas īstenot uzņēmējdarbības projektus, kā arī, lai mazinātu atšķirīgas interpretācijas iespējas attiecībā uz noteikumos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salīdzinoši zemo aktivitāti 2024. gadā izsludinātajās projektu pieņemšanas kārtās, Eiropas Komisijai tika iesniegts paziņojums par grozījumiem KLP SP un saskaņoti grozījumi, paredzot iespēju vietējām rīcības grupām savās SVVA stratēģijās paplašināt atbalsta pretendentu loku. Minētie grozījumi KLP SP palielina atbalsta saņēmējiem - uzņēmējiem – noteikto apgrozījuma slieksni no 150 000 līdz 350 000 </w:t>
      </w:r>
      <w:r w:rsidR="00000000" w:rsidRPr="00000000" w:rsidDel="00000000">
        <w:rPr>
          <w:i w:val="1"/>
          <w:rtl w:val="0"/>
        </w:rPr>
        <w:t xml:space="preserve">euro.</w:t>
      </w:r>
      <w:r w:rsidR="00000000" w:rsidRPr="00000000" w:rsidDel="00000000">
        <w:rPr>
          <w:rtl w:val="0"/>
        </w:rPr>
        <w:t xml:space="preserve"> Šādi uzņēmumi ir nostiprinājuši savas pozīcijas tirgū, atraduši savu tirgus nišu, ir potenciāli lielākas iespējas, ka tie radīs jaunas darba vietas, kā arī tie ir atvērti inovācijām, kas ir viens no LEADER pieejas pamatelementiem, un ilgtspējīgu risinājumu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paplašinātu vienkāršoto izmaksu izmantošanas iespējas sīkiem (mikro) uzņēmējiem, ar grozījumiem KLP SP tika paplašināts fiksētās summas maksājuma “Lauku biļete” atbalsta pretendentu loks, ietverot arī esošus uzņēmumus (šobrīd tikai uzsācēji), kas dos iespēju vienkāršotā veidā atbalstu saņemt arī laukos esošiem sīkiem (mikro) uzņēmējiem, kas atbilst vairāk hobijuzņēmējiem –  mazajiem amatniekiem, mājražotājiem. Savukārt, projektiem, kas tiek īstenoti kā fiksētās summas maksājums "Jauniešu iniciatīvas", atcelts ierobežojums pasākumus īstenot tikai lauku teritorijā, tādējādi ļaujot apgūt zināšanas un prasmes lauku jauniešiem un bērniem pasākumos, kas tiek rīkoti arī ārpus lauku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intervences pirmā gada īstenošanas pieredzi, tai skaitā saskaņotos grozījumus KLP SP, kas paplašina atbalsta pretendentu loku un pasākumu īstenošanas teritoriju, ir nepieciešams izdarīt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intervences īstenošanas pirmā gada pieredzi, ir identificēta nepieciešamība veikt vairākus tehniskus un redakcionālus grozījumus, kas precizē vispārīgos nosacījumus, atbalsta saņemšanas nosacījumus, pieteikšanās kārtību un iesniedzamos dokumentus, neattiecināmās izmaksas un projekta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"Vispārīgie jautājumi" veikts precizējums attiecībā uz atbalsta pretendentiem, ar kuriem pašvaldība var īstenot kopprojektu, tādējādi sasaistot šo punktu ar citiem atbalsta saņemšanas nosacījumiem, kas atbalsta pretendentiem arī ir piemērojami. Tehnisks precizējums veikts definējot, kādas darbības apliecina, ka atbalsta pretendents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atbalsta saņemšanas nosacījums aktivitātē "Vietējās ekonomikas stiprināšanas iniciatīvas" attiecībā uz ieguldījumiem energoefektīvās ēkās ar mērķi labot konstatētu neprecizitāti attiecīgā punkta formulējumā. Veiktās izmaiņas neietekmēs līdzšinējo normas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projektu īstenošanas pieredzi un saņemtos jautājumus par mācību organizēšanu aktivitātē "Kopienu spēcinošas un vietas attīstību sekmējošas iniciatīvas", veikts precizējums sadaļā "Attiecināmās un neattiecināmās izmaksas", skaidrojot, ka šīs izmaksas var tik attiecinātas, ja dalība mācībās tiek nodrošināta klātienē vismaz desmit dalībniekiem un tās ir kopienu spēcinošas.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neattiecināmās izmaksas ar ceļojuma vai dzīvojamā treilera, tostarp kempingpiekabes, iegādes izmaksām, lai norma būtu skaidra un vienlīdzīgi piemērojama, neradot interpretācijas iespējas, ņemot vērā, ka uz minēto iegādi neattiecas attiecināmās izmaksas, kas saistītas ar vispārējās nozīmes transportlīdzekļa iegādi, jo tam jāatbilst visām trim noteikumos minētām pazīmēm - tas ir pielāgots specifisku darbu veikšanai, tam ir uzstādītas specifisko funkciju izpildei paredzētas iekārtas un tas ir mobila pakalpojuma sniegšanas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"Pieteikšanās kārtība un iesniedzamie dokumenti" veikti sekojoši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projektu pieņemšanas kārtas izsludināšanas termiņš, tostarp nepārtrauktās projektu pieņemšanas kārtas gadījumā, ja ir iesniegti projekti, kuru maksimālā attiecināmā summa sasniedz 80 procentu no konkrētajā kārtā pieejamā finansējuma, lai sekmētu vienotu un skaidru izpratni par kārtību, kādā notiek projektu iesniegumu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svītrota prasība iesniegt būvvaldes izziņu par to, ka nav nepieciešams izstrādāt būvniecības ieceres dokumentāciju, piemēram, publiskās ārtelpas atsevišķu labiekārtojuma elementu būvdarbiem. Veiktie labojumi atvieglos atbalsta pretendentiem projekta sagatavošanas un iesniegšanas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nosacījums, ka par nekustamo īpašumu, kurā plānots uzstādīt stacionāros pamatlīdzekļus, var iesniegt arī patapinājuma līguma kopiju, tādējādi grozījumi paredz minētajā gadījumā tikai nomas līguma iesniegšanu, ja vien zeme vai telpas nav atbalsta pretendenta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ar dokumentu iesniegšanas termiņu būvniecības gadījumā, ja atbalsta pretendents izmanto normatīvos aktos par valsts un Eiropas Savienības atbalsta piešķiršanas, administrēšanas un uzraudzības vispārējo kārtību lauku un zivsaimniecības attīstībai paredzēto iespēju saņemt avansa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saīsināts termiņš nekustamā īpašuma nomas līgumiem un attiecīgā gadījumā saskaņojumam, ja projektu īsteno aktivitātē "Kopienu spēcinošas un vietas attīstību sekmējošas iniciatīvas" un projekta kopējā attiecināmo izmaksu summa nepārsniedz 50 000 </w:t>
      </w:r>
      <w:r w:rsidR="00000000" w:rsidRPr="00000000" w:rsidDel="00000000">
        <w:rPr>
          <w:i w:val="1"/>
          <w:rtl w:val="0"/>
        </w:rPr>
        <w:t xml:space="preserve">euro</w:t>
      </w:r>
      <w:r w:rsidR="00000000" w:rsidRPr="00000000" w:rsidDel="00000000">
        <w:rPr>
          <w:rtl w:val="0"/>
        </w:rPr>
        <w:t xml:space="preserve">, sasaistot to ar projektu uzraudzības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pašvaldības lēmumā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"Projekta īstenošanas nosacījumi" precizēti nosacījumi, kuru izpilde apliecina normas izpildi par projekta īstenošanas uzsākšanu noteiktā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redakcija ietver atsevišķu apakšpunktu, kas sniedz termina “saistītās personas” skaidrojumu. Ņemot vērā, ka šo terminu skata atbilstoši vienotai definīcijai visos KLP SP lauku attīstības intervencēs  atbilstoši normatīvajos aktos par valsts un Eiropas Savienības atbalsta piešķiršanas, administrēšanas un uzraudzības vispārējo kārtību lauku un zivsaimniecības attīstībai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minēto apakšpunktu, vienlaikus papildinot noteikumus ar atsauci, ka saistītās personas tiek vērtētas saskaņā ar normatīvajiem aktiem par valsts un Eiropas Savienības atbalsta piešķiršanu, administrēšanu un uzraudzību vispārējo kārtību lauku un zivsaimniecības attīstībai, sekmēs vienotu normas piemērošanu ar citām KLP SP intervencēm.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rīcības grupas atbilstoši noteikumu 7. punktam var ierobežot atbalstāmās jomas un darbības, atbalsta saņēmējus, attiecināmās un neattiecināmās izmaksas, nosakot tās vietējās attīstības stratēģijā vai izsludinot projektu pieņemšanas kārtu, bet noteikumu 9.1. apakšpunktā minētais publiskā finansējuma nosacījums paredz, ka projektam ir jāatbilst SVVA stratēģijai, nevēršot uzmanību, ka atbalsta pretendentam ir jāievēro arī papildu nosacījumi, kas minēti vietējās rīcības grupas sagatavotā publikācijā, izsludinot projektu pieņemšanas kārtu.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precizējumu noteikumu sadaļā "Vispārīgie jautājumi" tiek vērsta atbalsta pretendenta uzmanība uz konkrētai projektu iesniegumu pieņemšanas kārtai noteiktiem nosacījumiem, kas papildus vietējās attīstības stratēģijā noteiktajam arī ir jāņem vērā, ja vietējā rīcības grupa tos ir noteikusi.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saņemšanas normas, kas attiecas tikai uz vienkāršotām izmaksām - fiksētās summas maksājumu ar budžeta projekta aprēķina metodi "Lauku biļete" un fiksētās summas maksājumu "Jauniešu iniciatīvas" - šobrīd ir noteiktas tikai Zemkopības ministrijas apstiprinātajās metodikās, bet vispārējās normas piemērojamas saskaņā ar noteikumos noteikto, kas rada neskaidrības atbalsta pretendentiem, gatavojot un īstenojot projektu. Tāpat noteikumus nepieciešams papildināt ar normām, kas izriet no veiktajiem grozījumiem KLP SP.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fiksētās summas maksājumam ar budžeta projekta aprēķina metodi "Lauku biļete" un fiksētās summas maksājumam "Jauniešu iniciatīvas" prasības atbalsta saņemšanai, publiskā finansējuma veids un apmērs, attiecināmās izmaksas, projekta īstenošanas nosacījumi ir noteikti noteikumos, tādējādi mazinot interpretācijas iespējas un pieļautās neprecizitātes projektu sagatavošanas un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KLP SP veiktajiem grozījumiem, fiksētās summas maksājumam ar budžeta projekta aprēķina metodi "Lauku biļete" paplašināts atbalsta pretendentu loks - paredzot šo atbalstu saņemt arī esošiem uzņēmējiem ar apgrozījumu līdz 15 000 </w:t>
      </w:r>
      <w:r w:rsidR="00000000" w:rsidRPr="00000000" w:rsidDel="00000000">
        <w:rPr>
          <w:i w:val="1"/>
          <w:rtl w:val="0"/>
        </w:rPr>
        <w:t xml:space="preserve">euro</w:t>
      </w:r>
      <w:r w:rsidR="00000000" w:rsidRPr="00000000" w:rsidDel="00000000">
        <w:rPr>
          <w:rtl w:val="0"/>
        </w:rPr>
        <w:t xml:space="preserve"> saimnieciskās darbības attīstībai lauku teritorijā, bet fiksētās summas maksājumam "Jauniešu iniciatīvas" - pasākumu īstenošanu arī ārpus lauku teritorijām.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gada pieredze rāda, ka fiksētās summas maksājumam "Jauniešu iniciatīvas" metodikā ietvertā prasība atbalsta pretendentam  - veikt darbu ar jaunatni – ir pārāk vispārīga, kā rezultātā atsevišķos gadījumos projektu īstenotājiem nav pietiekamas sagatavotības darbam ar jauniešiem, līdz ar ko atbalsta potenciāls netiek pilnībā izmantots, lai veicinātu lauku bērnu un jauniešu izaugsmi un spēju pilnveidi.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prasību atbalsta pretendentam (izņemot pašvaldībai) fiksētās summas maksājumam "Jauniešu iniciatīvas" apliecināt, ka tas gadā pirms projekta iesnieguma iesniegšanas ir īstenojis darbības bērnu un jauniešu (vecumā no 6 līdz 25 gadiem) mērķgrupai,  sekmēs pieredzējušāku atbalsta pretendentu iesaisti, tādējādi uzlabojot jauniešu iniciatīvu īstenošanas kvalitāti šīs mērķgrupas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Intervences pirmā gada īstenošanas pieredze, kā arī diskusijas ar vietējām rīcības grupām atklāja, ka viens no iemesliem izteikti zemākai atbalsta pretendentu interesei 2024. gada izsludinātajās projektu pieņemšanas kārtās aktivitātē "Vietējās ekonomikas stiprināšanas iniciatīvas", ir noteikumos ietvertais atbalsta pretendenta atbilstības nosacījums, kas nosaka, ka uzņēmēja apgrozījums nepārsniedz 150 000 </w:t>
      </w:r>
      <w:r w:rsidR="00000000" w:rsidRPr="00000000" w:rsidDel="00000000">
        <w:rPr>
          <w:i w:val="1"/>
          <w:rtl w:val="0"/>
        </w:rPr>
        <w:t xml:space="preserve">euro</w:t>
      </w:r>
      <w:r w:rsidR="00000000" w:rsidRPr="00000000" w:rsidDel="00000000">
        <w:rPr>
          <w:rtl w:val="0"/>
        </w:rPr>
        <w:t xml:space="preserve"> pēdējā noslēgtajā gadā pirms projekta iesniegšanas. Lai risinātu šo situāciju un sekmētu atbalsta pretendentu aktivitāti, tika iesniegti un apstiprināti grozījumi KLP SP, lai dotu iespēju atbalstu saņemt arī vietējo rīcības grupu darbības teritorijā esošiem uzņēmējiem ar apgrozījumu līdz 350 000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apstiprinātos grozījumus KLP SP, tika precizēti atbalsta saņemšanas nosacījumi aktivitātē "Vietējās ekonomikas stiprināšanas iniciatīvas", paredzot, ka saņemt atbalstu un īstenot projektus var atbalsta pretendenti ar apgrozījumu līdz 350 000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noteikumos noteiktā sabiedriskā labuma projekta definīcija paredz, ka pēc projekta īstenošanas var paredzēt ari ieņēmumus par sniegto pakalpojumu ar nosacījumu, ka ieņēmumi par sniegto pakalpojumu nav kvalificējami kā peļņa, valsts atbalsta normas tiek piemērotas visiem projektiem arī aktivitātē "Kopienu spēcinošas un vietas attīstību sekmējošas iniciatīvas", izņemot pašvaldību īstenotos projektus. Lai atvieglotu atbalsta saņemšanu sabiedriskā labuma projektu īstenošanai, nepieciešams ar grozījumiem noteikt izņēmumu arī reliģiskām organizācijām un biedrībām un nodibinājumiem, kas ieguvuši sabiedriskā labuma organizācijas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intervences īstenošanas pieredze norāda uz nepieciešamību skaidrāk noteikt normu par valsts atbalsta kumulēšanu.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Aktivitātē "Kopienu spēcinošas un vietas attīstību sekmējošas iniciatīvas" tiek īstenoti sabiedriskā labuma projekti, lai atvieglotu atbalsta saņemšanu sabiedriskā labuma projektu īstenošanai, ar grozījumiem noteikts izņēmums valsts atbalsta normu piemērošanai arī reliģiskām organizācijām un biedrībām un nodibinājumiem, kas ieguvuši sabiedriskā labuma organizācijas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prasībām par valsts atbalsta kumulēšanu, noteikts nosacījums, ka apvienojot valsts atbalstu, nedrīkst pārsniegt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73. pantā minētās atbalsta intensitātes.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saņemšanas nosacījumi aktivitātē "Vietējās ekonomikas stiprināšanas iniciatīvas" paredz nosacījumus atbalsta pretendentam nodrošināt atbilstību ekonomiskās dzīvotspējas rādītājiem, ja projekta kopējā attiecināmo izmaksu summa pārsniedz 50 000 </w:t>
      </w:r>
      <w:r w:rsidR="00000000" w:rsidRPr="00000000" w:rsidDel="00000000">
        <w:rPr>
          <w:i w:val="1"/>
          <w:rtl w:val="0"/>
        </w:rPr>
        <w:t xml:space="preserve">euro,</w:t>
      </w:r>
      <w:r w:rsidR="00000000" w:rsidRPr="00000000" w:rsidDel="00000000">
        <w:rPr>
          <w:rtl w:val="0"/>
        </w:rPr>
        <w:t xml:space="preserve"> bet citās KLP SP intervencēs, piemēram, atbalsts investīcijām materiālajos aktīvos, kur nosacījums par atbilstības nodrošināšanu vismaz diviem ekonomiskās dzīvotspējas rādītājiem pēdējā noslēgtajā gadā pirms projekta iesnieguma iesniegšanas, tiek piemērots, ja projekta kopējā attiecināmo izmaksu summa pārsniedz 70 000 </w:t>
      </w:r>
      <w:r w:rsidR="00000000" w:rsidRPr="00000000" w:rsidDel="00000000">
        <w:rPr>
          <w:i w:val="1"/>
          <w:rtl w:val="0"/>
        </w:rPr>
        <w:t xml:space="preserve">euro</w:t>
      </w:r>
      <w:r w:rsidR="00000000" w:rsidRPr="00000000" w:rsidDel="00000000">
        <w:rPr>
          <w:rtl w:val="0"/>
        </w:rPr>
        <w:t xml:space="preserve">.  Līdz ar to nepieciešams salāgot šo prasību līdzīgi kā tas ir noteikts citās KLP SP intervencēs.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noteikumos un palielinot projekta kopējo attiecināmo izmaksu slieksni no 50 000</w:t>
      </w:r>
      <w:r w:rsidR="00000000" w:rsidRPr="00000000" w:rsidDel="00000000">
        <w:rPr>
          <w:i w:val="1"/>
          <w:rtl w:val="0"/>
        </w:rPr>
        <w:t xml:space="preserve"> euro</w:t>
      </w:r>
      <w:r w:rsidR="00000000" w:rsidRPr="00000000" w:rsidDel="00000000">
        <w:rPr>
          <w:rtl w:val="0"/>
        </w:rPr>
        <w:t xml:space="preserve"> uz 70 000 </w:t>
      </w:r>
      <w:r w:rsidR="00000000" w:rsidRPr="00000000" w:rsidDel="00000000">
        <w:rPr>
          <w:i w:val="1"/>
          <w:rtl w:val="0"/>
        </w:rPr>
        <w:t xml:space="preserve">euro</w:t>
      </w:r>
      <w:r w:rsidR="00000000" w:rsidRPr="00000000" w:rsidDel="00000000">
        <w:rPr>
          <w:rtl w:val="0"/>
        </w:rPr>
        <w:t xml:space="preserve">, noteikumu normas izpildei par atbilstības nodrošināšanu ekonomiskās dzīvotspējas rādītājiem, tiks atviegloti atbalsta saņemšanas nosacījumi mazākiem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iesniegumu pieņemšanas kārtas noslēgšanās, vietējā rīcības grupa veic iesniegto projektu iesniegumu vērtēšanu un pieņem lēmumu par projektu atbilstību vietējās attīstības stratēģijai. Spēkā esošie noteikumi paredz termiņu, kurā vietējai rīcības grupai Lauku atbalsta dienestā ir jāiesniedz ar projektu vērtēšanu saistītie dokumenti. Lai novērstu, ka vietējā rīcības grupa dokumentus iesniedz noteikumos noteiktā termiņā, bet sadrumstalotā veidā, katru savā datumā, kas apgrūtina Lauku atbalsta dienestam veikt savus administratīvos procesus, jo daļa no vietējās rīcības grupas iesniedzamajiem dokumentiem ir jāizvērtē savstarpēji saistīti, nepieciešams precizēt, ka ar projektu vērtēšanu saistītos dokumentus Lauku atbalsta dienesta Elektroniskajā pieteikšanās sistēmā ir jāsniedz vienlaicīgi un  apkopotā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precizējumu sadaļā "Projektu vērtēšana un lēmuma pieņemšana", kas paredz nosacījumu vietējām rīcības grupām iesniegt nepieciešamos ar projektu vērtēšanu saistītos dokumentus Lauku atbalsta dienesta Elektroniskajā pieteikšanās sistēmā vienlaicīgi un  apkopotā veidā, sekmēs efektīvāku vērtēšanas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tostarp fiziskām personām, kuras uzsāk vai plāno veikt saimniecisko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rīcības grupas, t. i., biedrības un nodibinājumi, kam piešķirts atbalsts sabiedrības virzītas vietējās attīstības stratēģijas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vai 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kas ir sīkie, mazie un vidējie uzņēmēji, kuru apgrozījums nepārsniedz 350 000 </w:t>
      </w:r>
      <w:r w:rsidR="00000000" w:rsidRPr="00000000" w:rsidDel="00000000">
        <w:rPr>
          <w:i w:val="1"/>
          <w:rtl w:val="0"/>
        </w:rPr>
        <w:t xml:space="preserve">euro</w:t>
      </w:r>
      <w:r w:rsidR="00000000" w:rsidRPr="00000000" w:rsidDel="00000000">
        <w:rPr>
          <w:rtl w:val="0"/>
        </w:rPr>
        <w:t xml:space="preserve"> pēdējā noslēgtajā gadā pirms projekta iesniegšanas, pašvaldībām, NVO, reliģiskajām organizācijām, kā arī vietējām rīcības grupām kā vietējās attīstības stratēģijas īstenotājām, nodrošinot ar to saistītos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uzņēmējdarbības vidi, jo veiktie grozījumi sekmēs vienotu un skaidrāku atbalsta saņemšanas nosacījumu izpratni atbalsta pretendentu vidū, kā arī paplašinās atbalsta pretendentu loku, tai skaitā vienkāršotajā izmaksā "Lauku biļete", tādējādi nodrošinot atbalstošus apstākļus uzsākt vai attīstīt uzņēmējdarbību vietējo rīcības grupu darbības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maziem un vidējiem uzņēmējiem, jo veiktie grozījumi paplašina atbalsta pretendentu loku, tādējādi sniedzot tiem iespēju attīstīt uzņēmējdarbību.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atbalsta pretendentam pēc projekta īstenošanas aktivitātē "Vietējās ekonomikas stiprināšanas iniciatīvas" sasniegt kādu no ietvertajiem saimnieciskās darbības rādītājiem, kuru starpā ir radīt vismaz vienu jaunu darbavietu un saglabāt esošās darbavietas, kā rezultātā atbalsta saņēmēji veicinās nodarbinātību vietējo rīcības grupu darbības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un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2021/2115 83.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83. panta 1. punktā un 2. punktā paredzētā rīcības brīvība izmantota atbalsta piešķiršanai uzņēmējdarbības projektiem, ar attiecināmo izmaksu kopsummu līdz 15 000 </w:t>
            </w:r>
            <w:r w:rsidR="00000000" w:rsidRPr="00000000" w:rsidDel="00000000">
              <w:rPr>
                <w:sz w:val="24"/>
                <w:i w:val="1"/>
                <w:rtl w:val="0"/>
              </w:rPr>
              <w:t xml:space="preserve">euro</w:t>
            </w:r>
            <w:r w:rsidR="00000000" w:rsidRPr="00000000" w:rsidDel="00000000">
              <w:rPr>
                <w:sz w:val="24"/>
                <w:rtl w:val="0"/>
              </w:rPr>
              <w:t xml:space="preserve">  -  "Lauku biļete" un projektiem "Jauniešu iniciatīvas" ar attiecināmo izmaksu kopsummu līdz 6 000 </w:t>
            </w:r>
            <w:r w:rsidR="00000000" w:rsidRPr="00000000" w:rsidDel="00000000">
              <w:rPr>
                <w:sz w:val="24"/>
                <w:i w:val="1"/>
                <w:rtl w:val="0"/>
              </w:rPr>
              <w:t xml:space="preserve">euro</w:t>
            </w:r>
            <w:r w:rsidR="00000000" w:rsidRPr="00000000" w:rsidDel="00000000">
              <w:rPr>
                <w:sz w:val="24"/>
                <w:rtl w:val="0"/>
              </w:rPr>
              <w:t xml:space="preserve">,  paredzot atbalsta saņemšanu kā fiksētas summas maksājumu. Konkrētā rīcības brīvība izmantota, lai vienkāršotu projektu faktisko izmaksu uzskaiti, pārejot no finanšu dokumentu pārbaudes uz sasniegto rezultātu pārbaudi.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rīcības grupu sagatavoto sabiedrības virzītas vietējās attīstības stratēģiju īstenošana sekmēs vietējās teritorijas, tostarp lauku teritorijas,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rīcības grupu sagatavoto sabiedrības virzītas vietējās attīstības stratēģiju īstenošana sekmēs vietējās teritorijas attīstību, tostarp sociālekonomiskās situācijas uzlabošanos.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25-TA-1190</w:t>
    </w:r>
    <w:r>
      <w:br/>
    </w:r>
    <w:r w:rsidR="00000000" w:rsidRPr="00000000" w:rsidDel="00000000">
      <w:rPr>
        <w:rtl w:val="0"/>
      </w:rPr>
      <w:t xml:space="preserve">Izdrukāts 29.07.2026. 23.33 - 1.0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25-TA-1190</w:t>
    </w:r>
    <w:r>
      <w:br/>
    </w:r>
    <w:r w:rsidR="00000000" w:rsidRPr="00000000" w:rsidDel="00000000">
      <w:rPr>
        <w:rtl w:val="0"/>
      </w:rPr>
      <w:t xml:space="preserve">Izdrukāts 29.07.2026. 23.33 - 1.0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anotācija_(ex_ante)_25-TA-1190.docx</dc:title>
</cp:coreProperties>
</file>

<file path=docProps/custom.xml><?xml version="1.0" encoding="utf-8"?>
<Properties xmlns="http://schemas.openxmlformats.org/officeDocument/2006/custom-properties" xmlns:vt="http://schemas.openxmlformats.org/officeDocument/2006/docPropsVTypes"/>
</file>