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30. jūnija noteikumos Nr. 332 "Noteikumi par Latvijas būvnormatīvu LBN 221-15 "Ēku iekšējais ūdensvads un kanalizācija"""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Direktīvas (ES) 2020/2184 par dzeramā ūdens kvalitāti (pārstrādāta redakcija) (turpmāk – Direktīva 2020/2184) 11. panta 1. punkts nosaka, ka šīs direktīvas 4. panta nolūkos dalībvalstis nodrošina, ka materiāli, kurus ir paredzēts izmantot dzeramā ūdens ieguvei, apstrādei, glabāšanai vai sadalei jaunās iekārtās vai esošajās iekārtās, ja tiek veikts to remonts vai rekonstrukcija, un kuri nonāk saskarē ar šādu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 tieši, ne netieši neapdraud cilvēku veselību, kā tas paredzēts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nerada piesārņotāju nonākšanu ūdenī lielākā apjomā nekā nepieciešams, ņemot vērā materiāla paredzēto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Direktīvas 2020/2184 11. panta 1. punkta prasības nacionālajā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prasību pārņemšanas nacionālajos normatīvajos aktos gala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būvnormatīvā LBN 221-15 “Ēku iekšējais ūdensvads un kanalizācija” minimālās higiēnas prasības būvizstrādājumiem, kas nonāk saskarē ar dzeramo ūdeni nav noteiktas.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līdzšinējā regulējuma (Padomes 1998. gada 3. novembra Direktīvas  Nr. 98/83/EK) par dzeramā ūdens kvalitāti) noteikumiem par kvalitātes nodrošināšanu attiecībā uz apstrādi, aprīkojumu un materiāliem neizdevās radīt vienotas higiēnas prasības izstrādājumiem, kas nonāk saskarē ar dzeramo ūdeni. Rezultātā katrā Eiropas Savienības dalībvalstī ir savi izstrādājumu noteikumi un prasības dažādās dalībvalstīs atšķiras. Būvizstrādājumu ražotājiem ir jānodrošina produktu atbilstības novērtēšana atbilstoši katras valsts prasībām, kas ir laikietilpīgs un dārgs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Direktīva 2020/2184 nosaka saskaņotas minimālās prasības materiāliem, kas nonāk saskarē ar dzeramo ūdeni, palīdzēs sasniegt vienotu veselības aizsardzības līmeni visā Eiropas Savienībā, kā arī veicinās labāku iekšējā tirgus darbību. Saskaņā ar Direktīvas 2020/2184 11. panta 2. punktu, lai nodrošinātu 1. punkta vienveidīgu piemērošanu, Komisija pieņem īstenošanas aktus nolūkā noteikt konkrētas minimālās higiēnas prasības materiāliem, kas nonāk saskarē ar dzeramo ūdeni, pamatojoties uz V pielikumā izklāstītajiem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īstenošanas akti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2024. gada 12. janvārim – metodes to izejvielu, sastāvu un sastāvdaļu testēšanai un apstiprināšanai, kas jāiekļauj Eiropas pozitīvajos sarakstos, kuros ietvertas izejvielas, sastāvi vai sastāvdaļas, tostarp ar vielām vai materiāliem saistītās specifiskās migrācijas robežas un zinātniskos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2025. gada 12. janvārim – pamatojoties uz ECHA apkopotajiem sarakstiem, kuros norādīti arī derīguma termiņi, Eiropas pozitīvos sarakstus, kuros ietvertas izejvielas, sastāvi vai sastāvdaļas katrai materiālu grupai, proti, organiskie, cementa, metāliskie, emaljas, keramikas vai citi neorganiskie materiāli, ko atļauts izmantot materiālu vai produktu ražošanā, kas ir saskarē ar dzeramo ūdeni, vajadzības gadījumā ietverot to izmantošanas nosacījumus un migrācijas robežas, kas nosakāmas, pamatojoties uz metodiku, kura pieņemta, ievērojot šīs daļas a) punktu un ņemot vērā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2024. gada 12. janvārim – procedūras un metodes tādu gala materiālu testēšanai un apstiprināšanai, kas izmantoti izstrādājumā, kurš veidots no Eiropas pozitīvajos sarakstos iekļauto izejvielu, sastāvu vai sastāvdaļu materiāliem vai kombinācijām.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minimālās higiēnas prasības, tiks nodrošināts, ka ūdensapgādes sistēmas tiks izbūvētas no nekaitīgiem būvizstrādājumiem.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32020L2184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 (ES) 2020/2184 par dzeramā ūdens kvalitāti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11. panta 1. punktā noteiktas minimālās higiēnas prasības materiāliem kontaktā ar dzeramo ūdeni. Prasības jāpārņem nacionālajā normatīvajā aktā līdz 2023. gada 12.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16. decembra Direktīva (ES) 2020/2184 par dzeramā ūdens kvalitāti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prasības attiecībā uz ēku iekšējo ūdensvadu. Lai pārņemtu pilnībā, tiek veikti attiecīgie grozījumi arī Latvijas būvnormatīvā LBN 222-15 “Ūdensapgādes būves”. Ekonomikas ministrija ir atbildīga par šo saistību izpildi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nav stingrākas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2020/2184 nav paredzēta rīcības brīvība 11. panta 1. punkta pārņemšanai.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izvērtēti pēc sabiedrības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noteiktas minimālās higiēnas prasības būvizstrādājumiem kontaktā ar dzeramo ūdeni, kas tieši ietekmē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22-TA-1013</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22-TA-1013</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anotācija_(ex_ante)_22-TA-1013.docx</dc:title>
</cp:coreProperties>
</file>

<file path=docProps/custom.xml><?xml version="1.0" encoding="utf-8"?>
<Properties xmlns="http://schemas.openxmlformats.org/officeDocument/2006/custom-properties" xmlns:vt="http://schemas.openxmlformats.org/officeDocument/2006/docPropsVTypes"/>
</file>