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2010. gada 7. septembra noteikumos Nr. 827 "Noteikumi par valsts sociālās apdrošināšanas obligāto iemaksu veicēju reģistrāciju un ziņojumiem par valsts sociālās apdrošināšanas obligātajām iemaksām un iedzīvotāju ienākuma nodokli""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izstrādāts, lai nodrošinātu Eiropas Parlamenta un Padomes 2019.gada 20.jūnija direktīvas 2019/1158/ES par darba un privātās dzīves līdzsvaru vecākiem un aprūpētājiem un ar ko atceļ Padomes Direktīvu 2010/18/ES 18.pantā noteiktā ziņošanas pienākuma izpildi, kā arī, lai nodrošinātu juridisku skaidrību un veidotu vienveidīgu un nepārprotamu tiesību normu piemērošanu praksē.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ministrijas iniciatīva - lai izpildītu "Ēnu ekonomikas ierobežošanas plāna 2024.-2027.gadam" (apstiprināts ar Ministru kabineta 2024.gada 25.janvāra rīkojumu Nr.72) 1.2.2.pasākumu, kurš paredz noteikt darba devējam pienākumu informēt Valsts ieņēmumu dienestu par faktu, ka darbiniekam darba alga tiek izmaksāta skaidrā naudā.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izpildīt "Ēnu ekonomikas ierobežošanas plāna 2024.-2027.gadam" 1.2.2.pasākumu, paredzot darba devējam pienākumu informēt Valsts ieņēmumu dienestu par faktu, ka darbiniekam darba alga tiek izmaksāta skaidrā naudā un izpildīt Eiropas Parlamenta un Padomes 2019.gada 20.jūnija direktīvas 2019/1158/ES par darba un privātās dzīves līdzsvaru vecākiem un aprūpētājiem un ar ko atceļ Padomes Direktīvu 2010/18/ES 18.pantā noteikto ziņošanas pienākumu, nodrošināt juridisku skaidrību un vienveidīgu, un nepārprotamu tiesību normu piemērošanu.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01.01.2025.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tiek virzīts likumprojekta “Par valsts budžetu 2025. gadam un budžeta ietvaru 2025., 2026. un 2027. gadam”  pavadošo likumprojektu paketē.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Ēnu ekonomika joprojām ir izplatīta parādība Latvijā, neskatoties uz daudziem ieviestajiem pasākumiem tās ierobežošanai. Saskaņā ar Dr. Arņa Saukas veiktā pētījuma “Ēnu ekonomikas indekss Baltijas valstīs 2009.–2023. gadā” (SSE Riga) rezultātiem 2023. gadā nedeklarētās darba samaksas jeb “aplokšņu algas” komponente veidoja 48,2 %, bet 2022. gadā “aplokšņu algas” komponente bija 46,7%. Dati par darba samaksas izmaksas formu (skaidra/bezskaidra nauda) būtu lietojami kā nedeklarēto ienākumu un “aplokšņu algu” riska indikatori.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Skaidru naudu bieži izmanto kā instrumentu ēnu ekonomikas aktivitātēm. Jo lielāka ir skaidras naudas aprite ekonomikā kopumā, jo vieglāk ir paslēpt ēnu ekonomikas izpausmes legālās skaidras naudas apritē. Attiecīgi, palielinoties bezskaidras naudas aprites īpatsvaram un naudas plūsmas caurskatāmībai, uzraudzības procedūras var būt vairāk automatizētas, samazinot administratīvo slogu nodokļu maksātājiem. Uzsverams, ka ēnu ekonomikas pētniecības organizāciju un zinātnieku starpā valda vienprātība par to, ka ēnu ekonomiku veicina nekontrolēta skaidras naudas aprite, attiecīgi uzraugot un samazinot skaidrās naudas apriti, ir iespējams mazināt ēnu ekonomikas apjomu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Latvijas Bankas “Maksājuma radara” datiem, 2024. gada februārī Latvijas iedzīvotāji bezskaidrā naudā veikuši vidēji 77 % maksājumu, kas liecina par faktu, ka fizisko personu rīcībā ienākumi, visticamāk, nonāk pārsvarā tieši bezskaidrā naudā.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gadā vidēji mēnesī bija 91,4 tūkst. darba devēji, kuri vidēji mēnesī veidoja 887 tūkst. darba vietas. Daļai darba vietu darba samaksa ar lielu varbūtību tiek izmaksāta bezskaidrā naudā, pie tādām var attiecināt: 328,49 tūkst. darba vietas ir iestādēm vai uzņēmumiem, kuri pilnībā vai daļēji finansēti no valsts vai pašvaldību budžeta; 234,30 tūkst. darba vietas veido komersanti, kuriem 2023. gadā vairāk nekā 6 mēnešos bija vairāk nekā 36 darbinieki.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plāna 2024.-2027.gadam 1.2.2.pasākums paredz noteikt darba devējam pienākumu informēt Valsts ieņēmumu dienestu par faktu, ka darbiniekam darba alga tiek izmaksāta skaidrā naudā. Lai atspoguļotu darba algas izmaksas veidu, viens no atbilstošiem risinājumiem ir darba devēja ziņojumā datus par katra konkrēta darba algas saņēmēja ienākumiem papildināt ar aili, ko darba devējs aizpilda (izdara atzīmi) tikai gadījumā, ja darba samaksu izmaksā skaidrā naudā. Vienlaikus tas arī mazinātu administratīvo slogu ienākuma izmaksātājiem, jo skar nelielu darba ņēmēju skaitu. Saskaņā ar iesniegtajiem darba devēju ziņojumiem 2023. gada augustā 76,9 % jeb 63 463 darba devēju nodarbina līdz pieciem darbiniekiem (2022. gadā bija 77,5 % darba devēji, kas, salīdzinot ar 2021.gadu, ir par 1,2 procentpunktiem vairāk), no tiem 55,0 % darba devējiem ir konstatēti būtiski “aplokšņu algu” riski.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ņemot vērā lielo “aplokšņu algu” īpatsvaru ēnu ekonomikā, ir nepieciešams izstrādāt tiesisko regulējumu, kas nodokļu administrācijai ļautu iegūt datus, kuru analīzes rezultātā būtu iespējams indikatīvi konstatēt iespējamu “aplokšņu algu” maksāšanu, neveicot laikietilpīgas pārbaudes iespējamo risku konstatēšanai.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Parlamenta un Padomes 2019.gada 20.jūnija direktīvas 2019/1158/ES par darba un privātās dzīves līdzsvaru vecākiem un aprūpētājiem un ar ko atceļ Padomes Direktīvu 2010/18/ES 18.pants par ziņošanu un pārskatīšanu paredz, ka līdz 2027.gada 2.augustam dalībvalstis paziņo Komisijai visu informāciju par šīs direktīvas īstenošanu. Informācijā ietver pieejamos apkopotos datus, par to, kā dažādus direktīvā paredzētos atvaļinājumus un elastīga darba režīma veidus izmanto vīrieši un sievietes. Pašreiz normatīvie akti neparedz nodalīt un uzskaitīt dažādus normatīvajos aktos paredzētos atvaļinājumus un elastīga darba režīma veidus.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Juridiskās skaidrības nodrošināšanai, noteikumu projektā ir veikti citi tehniski un redakcionāli precizējumi.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Neviens normatīvais akts neparedz darba devējam pienākumu deklarācijās vai paziņojumos norādīt informāciju par darba algas izmaksas veidu - skaidrā vai bezskaidrā naudā. Līdz ar to, Valsts ieņēmumu dienestam nav iespējas iegūt precīzu informāciju gan par konkrētiem darba devējiem, kuri darba samaksu izmaksā skaidrā naudā, gan arī par darba ņēmējiem (to skaitu, darba algas apmēriem), kuri darba ienākumus saņem skaidrā naudā.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Pašreiz normatīvie akti neparedz nodalīt un uzskaitīt dažādus Eiropas Parlamenta un Padomes 2019.gada 20.jūnija direktīvā 2019/1158/ES par darba un privātās dzīves līdzsvaru vecākiem un aprūpētājiem un ar ko atceļ Padomes Direktīvu 2010/18/E paredzētos atvaļinājumus un elastīga darba režīma veidus, līdz ar to Latvija kā Eiropas Savienības dalībvalsts nevar izpildīt minētās direktīvas 18.pantā noteikto ziņošanas un uzraudzības pienākumu. Lai izpildītu ar direktīvu izvirzītos pienākumus, ir jārod risinājums, kas turpmāk Latvijā paredz iespējas nodalīt un uzskaitīt dažādus paredzētos atvaļinājumus un elastīga darba režīma veidus.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Skaidras naudas izmantošanas savstarpējos darījumos ierobežošanas darba grupā, kurā piedalījās pārstāvji no Finanšu ministrijas, Labklājības ministrijas, Ekonomikas ministrijas, Valsts ieņēmumu dienesta, Latvijas Bankas, kā arī vairākām nevalstiskajām organizācijām tika panākta vienošanās (kas pēc tam atspoguļojās arī Ēnu ekonomikas ierobežošanas plānā 2024.–2027. gadam), ka atbilstošākais risinājums ir darba devēja ziņojumā norādīt datus par katra konkrēta darba algas saņēmēja ienākumu izmaksas veidu, ja tas notiek skaidrā naudā. Līdz ar to darba devēja ziņojums ir papildināms ar aili, ko darba devējs aizpilda (izdara atzīmi) tikai gadījumā, ja darba samaksu izmaksā skaidrā naudā. Šāds risinājums arī būtiski nepalielina administratīvo slogu ienākuma  skaidrā naudā izmaksātājiem, jo atzīme ir veicama tikai vienā ailē. Savukārt, ja darba samaksa tiek izmaksāta tikai bezskaidrā naudā, papildu administratīvais slogs vispār netiek radīts.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Izmaiņas darba devēja ziņojumā iespējams nodrošināt sešu mēnešu laikā, pēc tam, kad būs pieņemti grozījumi Ministru kabineta 2010. gada 7. septembra noteikumos Nr. 827 “Noteikumi par valsts sociālās apdrošināšanas obligāto iemaksu veicēju reģistrāciju un ziņojumiem par valsts sociālās apdrošināšanas obligātajām iemaksām un iedzīvotāju ienākuma nodokli”, kas noteiks darba devējam pienākumu informēt Valsts ieņēmumu dienestu par darba algas izmaksu skaidrā naudā.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Latvija kā dalībvalsts varētu izpildīt Eiropas Parlamenta un Padomes 2019.gada 20.jūnija direktīvas 2019/1158/ES par darba un privātās dzīves līdzsvaru vecākiem un aprūpētājiem un ar ko atceļ Padomes Direktīvu 2010/18/E 18.pantā noteikto ziņošanas un uzraudzības pienākumu, darba devēja iesniedzamās ziņas par darba ņēmējiem tiek papildinātas ar jaunu kodu, kas nodrošinās iespēju nodalīt un uzskaitīt darba ņēmējus, kuriem ir piešķirts aprūpētāja atvaļinājums.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uzņēmumi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devējiem, kuri darba ņēmējam piešķirs aprūpētāja atvaļinājumu, par šādu darba ņēmēja prombūtni būs jāpaziņo izmantojot ziņas par darba ņēmēju, norādot tam paredzētos darba ņēmēja kodus.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devējiem, kuri darba ņēmēja ienākumu izmaksā skaidrā naudā, darba devēja ziņojumā būs jāizdara atzīmi par darba ienākumu izmaksu skaidrā naudā.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2027</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13 804 572 522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14 589 732 408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726 900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15 454 292 985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726 900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726 900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7 184 001 527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7 554 470 057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62 800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7 974 530 401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62 800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62 800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4 387 368 150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4 665 178 768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475 800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4 951 516 374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475 800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475 800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2 233 202 845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2 370 083 583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188 300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2 528 246 210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188 300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188 300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13 804 572 522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14 589 732 408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726 900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15 454 292 985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726 900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726 900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7 184 001 527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7 554 470 057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62 800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7 974 530 401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62 800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62 800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4 387 368 150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4 665 178 768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475 800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4 951 516 374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475 800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475 800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2 233 202 845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2 370 083 583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188 300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2 528 246 210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188 300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188 300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726 900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726 900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726 900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62 800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62 800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62 800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475 800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475 800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475 800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188 300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188 300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188 300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Pēc Finanšu ministrijas sniegtās informācijas fiskālās ietekmes aprēķins balstīts uz potenciālajiem ieguvumiem no VID preventīvā darba ar “aplokšņu algu”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Saskaņā ar nodokļu maksātāju reitinga novērtējuma rezultātiem uz 01.04.2024, “B” reitinga komersanti veido ap 194 tūkst. darba vietu, kuros provizoriski ir nodarbināti ap 161 tūkst. fizisko personu. Vidējā darba alga “B” reitinga komersantu segmentā ir  722 EUR/mēnesī, kas veido deklarētus ienākumus ap 1 675,6 milj. EUR gadā. Saskaņā ar VID aplēsēm aplokšņu alga 2022.gadā veidoja 17,5%, no kā izriet “B” reitinga komersantu nedeklarētās darba samaksas provizoriskais novērtējums 293,2 milj. EUR gadā (1675,6*17,5%). Balstoties uz pieredzi, kas gūta strādājot ar fizisko personu ienākumu neatbilstībām tiek pieņemts, ka 17% fizisko personu būs iespējams konstatēt būtiskās deklarēto  ienākumu neatbilstības, kas izrietēs no apzināta fakta par darba samaksas izmaksu skaidrā naudā un šīs informācijas analīzi kontekstā ar datiem par bankas kontu apgrozījumiem, datiem par iemaksām bankomātos un citiem VID zināmiem faktiem. Papildus tiek pieņemts, ka 30% “B” reitinga komersantu jau šobrīd izmaksā darba ienākumus bezskaidrā naudā, kādēļ šis normatīvais regulējums uz tiem neiedarbosies. Balstoties uz iepriekšminētajiem apsvērumiem, tiek aplēsts nedeklarēto darba ienākumu apmērs uz kuru iedarbosies regulējums, kas veido ap 34,89 milj. EUR gadā (293.2 milj. EUR*17%*70%).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Nodokļu nemaksāšana ir sociāli-ekonomiska parādība, kurai VID vairākkārtīgi ir konstatējis atbilstību Pareto principam (20% gadījumu nosedz 80% no ekonomiskā mērķa rādītāja). Ņemot vērā iepriekšminēto, plānojot preventīvos pasākumus VID pirmām kārtām uzrunās komersantus, kuru radītie potenciālie zaudējumi veidos 27,9 milj. EUR gadā (34,89 milj. EUR*80%). Līdz šim brīdim VID veiktie apjomīgi preventīvie pasākumi bija ar fiskālo efektu 3%-5% robežās. Tādējādi ar to preventīvo pasākumu rezultātā, visticamāk, papildus deklarētā darba samaksa veidos ap 1,4 milj. EUR gadā (27,9 milj. EUR*5%), no kuras gada laikā tiks papildus deklarēti VSAOI  475,8 tūkst. EUR un IIN 251,1 tūkst. EUR. Kopējais fiskālais efekts vienā gadā tiek aplēsts 726,9 tūkst. EUR apmērā.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ietekmes jau ir iekļautas 2025-2028. gada nodokļu ieņēmumu bāzes prognozēs (apstiprināts ar Ministru kabineta 2024.gada 20.augusta sēdes protokollēmuma Nr. 32 61.§ "Informatīvais ziņojums "Par valsts pamatbudžeta un valsts speciālā budžeta bāzi un izdevumu pārskatīšanas rezultātiem 2025., 2026., 2027. un 2028. gadam"" 28.punktam).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Nepieciešamais finansējums izmaiņu ieviešanai Valsts ieņēmumu dienesta informācijas sistēmās 2025.gadam 51 873 EUR apmērā, t.sk.: EDS – 17 243 EUR, MAIS – 26 293 EUR un DNS 8 337 EUR un ieviesto izmaiņu uzturēšanas izdevumiem 2025.gadam un turpmāk ik gadu 3 632 EUR apmērā tiks nodrošināts Finanšu ministrijas pamatbudžeta programmas 33.00.00 “Valsts ieņēmumu un muitas politikas nodrošināšana” piešķirto līdzekļu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2019/1158</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Direktīvas (ES) 2019/1158 (2019. gada 20. jūnijs) par darba un privātās dzīves līdzsvaru vecākiem un aprūpētājiem un ar ko atceļ Padomes Direktīvu 2010/18/ES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Direktīvas (ES) 2019/1158 (2019. gada 20. jūnijs) par darba un privātās dzīves līdzsvaru vecākiem un aprūpētājiem un ar ko atceļ Padomes Direktīvu 2010/18/ES 18.pants paredz, ka dalībvalstīm ir pienākums sniegt informāciju Eiropas Komisijai par šajā direktīvā noteikto prasību īstenošanu. Saskaņā ar direktīvā noteikto, 2022. gada 1.augustā stājās spēkā Darba likuma norma, kas paredz, ka darbiniekam  ir tiesības pieprasīt aprūpētāja atvaļinājumu bez darba samaksas saglabāšanas, ja nepieciešams personīgi aprūpēt laulāto, vecāku, bērnu vai citu tuvu ģimenes locekli, vai personu, kura dzīvo ar darbinieku vienā mājsaimniecībā un kurai nopietna medicīniska iemesla dēļ nepieciešama būtiska aprūpe vai atbalsts (153. panta 1.</w:t>
      </w:r>
      <w:r w:rsidR="00000000" w:rsidRPr="00000000" w:rsidDel="00000000">
        <w:rPr>
          <w:vertAlign w:val="superscript"/>
          <w:rtl w:val="0"/>
        </w:rPr>
        <w:t xml:space="preserve">3</w:t>
      </w:r>
      <w:r w:rsidR="00000000" w:rsidRPr="00000000" w:rsidDel="00000000">
        <w:rPr>
          <w:rtl w:val="0"/>
        </w:rPr>
        <w:t xml:space="preserve"> daļa). Lai uzraudzītu un novērtētu direktīvas prasību kopumā īstenošanu, kā arī specifiski attiecībā uz aprūpētāja atvaļinājuma izmantošanu, nepieciešams papildināt darba devēju sniegtās ziņas ar papildus sniedzamo informāciju arī par aprūpētāja atvaļinājuma izmantošanu.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Direktīvas (ES) 2019/1158 (2019. gada 20. jūnijs) par darba un privātās dzīves līdzsvaru vecākiem un aprūpētājiem un ar ko atceļ Padomes Direktīvu 2010/18/ES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Valsts ieņēmumu dienests, Valsts sociālās apdrošināšanas aģentūra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sociālās apdrošināšanas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devēji, kuri darba ņēmējam ir piešķīruši aprūpētāja atvaļinājumu, darba devēju, kuri darba samaksu izmaksā skaidrā naudā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2022.gada 1.augusta Darba likumā ir spēkā 153. panta 1.</w:t>
      </w:r>
      <w:r w:rsidR="00000000" w:rsidRPr="00000000" w:rsidDel="00000000">
        <w:rPr>
          <w:vertAlign w:val="superscript"/>
          <w:rtl w:val="0"/>
        </w:rPr>
        <w:t xml:space="preserve">3</w:t>
      </w:r>
      <w:r w:rsidR="00000000" w:rsidRPr="00000000" w:rsidDel="00000000">
        <w:rPr>
          <w:rtl w:val="0"/>
        </w:rPr>
        <w:t xml:space="preserve"> daļa, kas nosaka, ka darbiniekam, kuram ir bērns līdz astoņu gadu vecumam vai kuram nepieciešams personīgi aprūpēt laulāto, vecāku, bērnu vai citu tuvu ģimenes locekli, vai personu, kura dzīvo ar darbinieku vienā mājsaimniecībā un kurai nopietna medicīniska iemesla dēļ nepieciešama būtiska aprūpe vai atbalsts, ir tiesības prasīt darba devējam noteikt darba laika organizācijas pielāgojumu. Eiropas Parlamenta un Padomes 2019.gada 20.jūnija direktīvas 2019/1158/ES par darba un privātās dzīves līdzsvaru vecākiem un aprūpētājiem un ar ko atceļ Padomes Direktīvu 2010/18/ES 18.pants par ziņošanu un pārskatīšanu paredz, ka līdz 2027.gada 2.augustam dalībvalstis paziņo Komisijai visu informāciju par šīs direktīvas īstenošanu. Informācijā ietver pieejamos apkopotos datus, par to, kā dažādus direktīvā paredzētos atvaļinājumus un elastīga darba režīma veidus izmanto vīrieši un sievietes. Tāpat ziņojumam ir jāpievieno pētījumu par mijiedarbību starp dažādajiem direktīvā paredzētajiem atvaļinājuma veidiem, kā arī citu veidu atvaļinājumiem ģimenes apstākļu dēļ un pētījumu par tiesībām un atvaļinājumu ģimenes apstākļu dēļ, ko piešķir pašnodarbinātām personām. Pašreiz normatīvie akti neparedz nodalīt un uzskaitīt dažādus normatīvajos aktos paredzētos atvaļinājumus un elastīga darba režīma veidus. Jau pašreiz Ministru kabineta 2010.gada 7.septembra noteikumi Nr.827 "Noteikumi par valsts sociālās apdrošināšanas obligāto iemaksu veicēju reģistrāciju un ziņojumiem par valsts sociālās apdrošināšanas obligātajām iemaksām un iedzīvotāju ienākuma nodokli" 1.pielikums paredz dažādu ziņu par darba ņēmēju iesniegšanu (tostarp dažādu atvaļinājuma veidus). Lai nodrošinātu iepriekš minētās direktīvas prasības, darba devējam būs jāiesniedz Valsts ieņēmumu dienestā informācija par Darba likuma 153. panta 1.</w:t>
      </w:r>
      <w:r w:rsidR="00000000" w:rsidRPr="00000000" w:rsidDel="00000000">
        <w:rPr>
          <w:vertAlign w:val="superscript"/>
          <w:rtl w:val="0"/>
        </w:rPr>
        <w:t xml:space="preserve">3</w:t>
      </w:r>
      <w:r w:rsidR="00000000" w:rsidRPr="00000000" w:rsidDel="00000000">
        <w:rPr>
          <w:rtl w:val="0"/>
        </w:rPr>
        <w:t xml:space="preserve"> daļā noteikto atvaļinājumu - tā piešķiršanas faktu un atgriešanās faktu no šāda veida atvaļinājuma (norādot attiecīgo ziņu kodu).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24-TA-2181</w:t>
    </w:r>
    <w:r>
      <w:br/>
    </w:r>
    <w:r w:rsidR="00000000" w:rsidRPr="00000000" w:rsidDel="00000000">
      <w:rPr>
        <w:rtl w:val="0"/>
      </w:rPr>
      <w:t xml:space="preserve">Izdrukāts 29.07.2026. 23.35 - 2.0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24-TA-2181</w:t>
    </w:r>
    <w:r>
      <w:br/>
    </w:r>
    <w:r w:rsidR="00000000" w:rsidRPr="00000000" w:rsidDel="00000000">
      <w:rPr>
        <w:rtl w:val="0"/>
      </w:rPr>
      <w:t xml:space="preserve">Izdrukāts 29.07.2026. 23.35 - 2.0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anotācija_(ex_ante)_24-TA-2181.docx</dc:title>
</cp:coreProperties>
</file>

<file path=docProps/custom.xml><?xml version="1.0" encoding="utf-8"?>
<Properties xmlns="http://schemas.openxmlformats.org/officeDocument/2006/custom-properties" xmlns:vt="http://schemas.openxmlformats.org/officeDocument/2006/docPropsVTypes"/>
</file>