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14. aprīļa noteikumos Nr. 210 "Noteikumi par automātisko informācijas apmaiņu par ziņojamām pārrobežu shēmām""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ir saistīta ar nepieciešamību pārņemt Padomes 2023. gada 17. oktobra direktīvas (ES) 2023/2226, ar ko groza Direktīvu 2011/16/ES par administratīvu sadarbību nodokļu jomā (turpmāk –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regulējumā, lai tiktu ievērotas tiesības uz profesionālo noslēpumu saskaņā ar Eiropas Tiesas sprieduma lietā C-694/20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ir pienākums līdz 2025. gada 31. decembrim pieņemt un publicēt normatīvos un administratīvos aktus, kas vajadzīgi, lai izpildītu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Eiropas Savienības (turpmāk - ES) dalībvalstīm cīņā ar izvairīšanos no nodokļu maksāšanas, ar Padomes 2011.gada 15.februāra Direktīvu 2011/16/ES par administratīvu sadarbību nodokļu jomā un ar ko atceļ Direktīvu 77/799/EEK (turpmāk - DAC) ir izveidota ES dalībvalstu nodokļu administrāciju sadarbības sistēma, kuras ietvaros dalībvalstis apmainās ar noteikta veida informāciju. Šīs sadarbības sistēmas mērķis ir nodokļu administrāciju pieeja informācijai, kas nepieciešama nodokļu administrēšanas ietvaros, par tās nodokļu rezidentiem, un kas citādi var tikt slēpta.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DAC grozījumiem ir Padomes 2018.gada 25.maija Direktīvā (ES) 2018/822, ar ko attiecībā uz obligāto automātisko informācijas apmaiņu nodokļu jomā saistībā ar ziņojamām pārrobežu shēmām groza Direktīvu 2011/16/ES, (turpmāk - DAC6). Ar šo direktīvu tika ieviests pienākums ziņot kompetentajām iestādēm par iespējami agresīvām pārrobežu nodokļu plānošanas shēmām. Ņemot vērā, ka agresīvas nodokļu plānošanas shēmas ir attīstījušās gadiem un kļuvušas arvien sarežģītākas, un tās pastāvīgi tiek pārveidotas un pielāgotas, ar DAC6 tika ieviests ziņošanas pienākums, ja darījums vai darījuma ķēde atbilst noteiktām pazīmēm. Ziņošanas pienākums rodas vai nu starpniekam (piemēram, personai, kas tirgo vai organizē pārrobežu shēmu, kas ir ziņojama pārrobežu shēma) vai noteiktos gadījumos attiecīgajam nodokļu maksātājam (piemēram, personai, kurai ziņojamā pārrobežu shēma ir darīta pieejama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ieviestu automātisko informācijas apmaiņu par pārrobežu ziņojamām shēmām, tika veikti grozījumi likuma “Par nodokļiem un nodevām” 15.pantā un izdoti Ministru kabineta 2020.gada 14.aprīļa noteikumi Nr.210 “Noteikumi par automātisko informācijas apmaiņu par ziņojamām pārrobežu shēmām” (turpmāk – MK noteikumi Nr.210).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DAC6 paredzēto, ja, piemēram, nodokļu maksātājs no citas personas iegādājas informāciju par to, kādu darījumu virkni nepieciešams veikt, lai samazinātu nodokļu maksātāja kopējo maksājamo nodokļu summu, un šis nodokļu maksātājs pēc tam dotos pie advokāta, lai saņemtu konsultāciju saistībā ar šo darījumu virkni, šis advokāts būtu uzskatāms par starpnieku atbilstoši MK noteikumiem Nr.210. Atbilstoši šajos noteikumos un DAC6 noteiktajam, ja advokāts ir starpnieks un informācijas sniegšana par ziņojamo pārrobežu shēmu pārkāptu profesionālo noslēpumu, tas ir tiesīgs nesniegt attiecīgo ziņojumu, ja nekavējoties informē citu starpnieku (šajā piemērā tā būs persona, kura pārdeva informāciju par veicamo darījumu virkni) vai, ja cita starpnieka nav, attiecīgo nodokļu maksātāju par tā ziņošanas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 lietā C-694/20, </w:t>
      </w:r>
      <w:r w:rsidR="00000000" w:rsidRPr="00000000" w:rsidDel="00000000">
        <w:rPr>
          <w:i w:val="1"/>
          <w:rtl w:val="0"/>
        </w:rPr>
        <w:t xml:space="preserve">Orde van Vlaamse Balies u.c. pret Vlaamse Regering</w:t>
      </w:r>
      <w:r w:rsidR="00000000" w:rsidRPr="00000000" w:rsidDel="00000000">
        <w:rPr>
          <w:rtl w:val="0"/>
        </w:rPr>
        <w:t xml:space="preserve">, 2022. gada 8. decembrī ir lēmusi, ka ar DAC6 paredzēto paziņošanas pienākumu ir pārkāptas Eiropas Savienības Pamattiesību hartas 7. pantā garantētās tiesības uz saziņas starp advokātu un viņa klientu neaizskaramību, ciktāl tajā būtībā ir paredzēts, ka advokātam – starpniekam, uz kuru attiecas profesionālais noslēpums, ir jāpaziņo ikvienam citam starpniekam, kas nav viņa klients, par tam saistošajiem ziņošanas pienākumiem, un līdz ar šo spriedumu DAC6 8.ab panta 5. punkts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 Tiesas spriedumu un lai nodrošinātu harmonizētu risinājumu ES dalībvalstīs, DAC8 ietver grozījumus regulējumā, kas attiecas uz DAC6 un advokāta – starpnieka ziņošanas pienākumu.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Nr.210 3.punkts atbilstoši DAC8 prasībām tiek papildināts ar jaunu apakšpunktu, ieviešot jaunu terminu “klients”, kas ir starpnieks vai attiecīgais nodokļu maksātājs, kas saņem pakalpojumus (tostarp palīdzību, padomu, konsultāciju vai norādījumus) no starpnieka, uz kuru attiecas pienākums glabāt profesionālo noslēpumu saistībā ar ziņojamu pārrobežu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Nr.210 11.punkts tiek precizēts, nosakot, ka gadījumā, ja starpnieks ir advokāts, tas nekavējoties paziņo starpniekam, kas ir tā klients, vai, ja starpnieka nav, klientam, kas ir attiecīgais nodokļu maksātājs, par ziņošanas pienākumu atbilstoši šo noteikumu 10.punktam. Šīs izmaiņas nodrošina, ka advokātam nav jāinformē un jāsniedz informācija ar viņu nesaistītai personai, tādējādi ievērojot profesionālo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arī augstāk minētās izmaiņas, tiek grozīts MK noteikumu Nr.210 25.1. apakšpunkts - tiek noteikts, ka ar informāciju par tādu starpnieku, kuram ir tiesības nesniegt ziņojumu, ievērojot profesionālo noslēpumu, Valsts ieņēmumu dienestam nav pienākuma apmainīties.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Nr.210 25.3. apakšpunkts tiek papildināts, nosakot, ka, sniedzot informāciju par ziņojamo pārrobežu shēmu, jāsniedz arī informācija, kas kompetentajai iestādei (piemēram, nodokļu administrācijai) varētu palīdzēt novērtēt iespējamo nodokļu risku. Eiropas Komisija ir informējusi, ka tiks sagatavotas vadlīnijas, kurās skaidrotu, kas būtu saprotams ar “informācija, kas kompetentajai iestādei varētu palīdzēt novērtēt nodokļu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grozījumiem noteikumu 25.8.apakšpunktā iesniedzamā informācija tiek papildināta ar nodokļu maksātāja identifikācijas numuru, ja tāds ir pieejams. Nodokļu maksātāja identifikācijas numurs ir būtiska informācija, lai nodokļu administrācijas varētu identificēt tās valsts nodokļu maksātāju un efektivizēt par viņu saņemtās informācijas izmantošanas iespējas. Līdz ar to administratīvās sadarbības ietvaros tiek paplašināti gadījumi, kad ir sniedzams nodokļu maksātāja identifikācijas numurs. Pienākums šo informāciju sniegt būs tikai tajos gadījumos, ja tāda informācija būs pieejama. Minētais regulējums stāsies spēkā no 2028.gada 1.janvāra, kā tas izriet no DAC8.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Advokāti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persona - starpnieks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Mainīsies informēšanas prasība par ziņojuma sagatavošanas pienākumu, ievērojot profesionālo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Fiziskai personai, kas ir starpnieks saskaņā ar MK noteikumu Nr.210 3.5.apakšpunktu, no 2028.gada 1.janvāra būs ziņojumā jāiekļauj informācija par nodokļu maksātāja identifikācijas numuru, ja tāds ir pieejams.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 starpnieks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 juridiskām personām, kas sniedz DAC6 ziņojumus, no 2028.gada 1.janvāra būs ziņojumā jāiekļauj informācija par nodokļu maksātāja identifikācijas numuru, ja tāds ir pieejams.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apdrošināšanas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Konkrētie grozījumi ietekmēs tikai juridiskās personas, kas sniedz ziņojumus VID.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2023. gada 17. oktobra direktīva (ES) 2023/2226, ar ko groza Direktīvu 2011/16/ES par administratīvu sadarbību nodokļu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daļēji tiek pārņemtas Padomes 2023. gada 17. oktobra direktīvas (ES) 2023/2226, ar ko groza Direktīvu 2011/16/ES par administratīvu sadarbību nodokļu jomā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2023. gada 17. oktobra direktīva (ES) 2023/2226, ar ko groza Direktīvu 2011/16/ES par administratīvu sadarbību nodokļu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1.punkta c) apakšpunkts (Direktīvas 2011/16/ES 3.pants papildināts ar 31.punktu)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4.punkta a) apakšpunkts (Direktīvas 2011/16/ES 8.ab panta 5.punkta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4.punkta b) apakšpunkta i) punkts (Direktīvas 2011/16/ES 8.ab panta 14.punkta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4.punkta b) apakšpunkta ii) punkts (Direktīvas 2011/16/ES 8.ab panta 14.punkta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16.punkts (Direktīvas 2011/16/ES 27.c panta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un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DAC8 1.panta 16.punkta daļa, kas attiecas uz regulējumu automātiskajai informācijas apmaiņai par ziņojamām pārrobežu shēmām, tiek pārņemta pilnībā. Pārējās 1.panta 16.punktā noteiktās prasības tiks pārņemtas ar grozījumiem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(atbildīgā iestāde – FM, pārņemšanas termiņš – 31.12.2025.) un grozījumiem Ministru kabineta 2017. gada 4. jūlija noteikumos Nr. 397 "Noteikumi par starptautiskas uzņēmumu grupas pārskatu par katru valsti" (atbildīgā iestāde – FM, pārņemšanas termiņš – 31.12.2027.).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2.panta 1.punkta otrā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DAC8 1.panta 4.punkta a) apakšpunkts (Direktīvas 2011/16/ES 8.ab panta 5.punkta pirmā daļa) nosaka: "Katra dalībvalsts </w:t>
            </w:r>
            <w:r w:rsidR="00000000" w:rsidRPr="00000000" w:rsidDel="00000000">
              <w:rPr>
                <w:sz w:val="24"/>
                <w:u w:val="single"/>
                <w:rtl w:val="0"/>
              </w:rPr>
              <w:t xml:space="preserve">var veikt pasākumus</w:t>
            </w:r>
            <w:r w:rsidR="00000000" w:rsidRPr="00000000" w:rsidDel="00000000">
              <w:rPr>
                <w:sz w:val="24"/>
                <w:rtl w:val="0"/>
              </w:rPr>
              <w:t xml:space="preserve">, kas vajadzīgi, lai piešķirtu starpniekiem tiesības uz atbrīvojumu no pienākuma iesniegt informāciju par ziņojamām pārrobežu shēmām, </w:t>
            </w:r>
            <w:r w:rsidR="00000000" w:rsidRPr="00000000" w:rsidDel="00000000">
              <w:rPr>
                <w:sz w:val="24"/>
                <w:u w:val="single"/>
                <w:rtl w:val="0"/>
              </w:rPr>
              <w:t xml:space="preserve">ja ziņošanas pienākums pārkāptu tiesības uz tiesību aktos noteiktās saziņas konfidencialitāti saskaņā ar attiecīgās dalībvalsts tiesību aktiem</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grozījumiem Ministru kabineta noteikumos tiek pārņemta minētā direktīvas norma, lai ievērotu Eiropas Tiesas sprieduma lietā C-694/20 noteikto attiecībā uz advokāta profesionālo noslēpumu pārrobežu shēmu ziņošanas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DAC8 1. panta 16. punktā (attiecībā uz Direktīvas 2011/16/ES 27.c panta 3. punktu)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Attiecībā uz taksācijas periodiem, kas sākas 2028. gada 1. janvārī vai pēc šā datuma,</w:t>
            </w:r>
            <w:r w:rsidR="00000000" w:rsidRPr="00000000" w:rsidDel="00000000">
              <w:rPr>
                <w:sz w:val="24"/>
                <w:u w:val="single"/>
                <w:rtl w:val="0"/>
              </w:rPr>
              <w:t xml:space="preserve"> katra dalībvalsts veic pasākumus, kas vajadzīgi, lai prasītu,</w:t>
            </w:r>
            <w:r w:rsidR="00000000" w:rsidRPr="00000000" w:rsidDel="00000000">
              <w:rPr>
                <w:sz w:val="24"/>
                <w:rtl w:val="0"/>
              </w:rPr>
              <w:t xml:space="preserve"> ka vienību un personu nodokļu maksātāja identifikācijas numuru, ko izdevusi rezidences dalībvalsts, </w:t>
            </w:r>
            <w:r w:rsidR="00000000" w:rsidRPr="00000000" w:rsidDel="00000000">
              <w:rPr>
                <w:sz w:val="24"/>
                <w:u w:val="single"/>
                <w:rtl w:val="0"/>
              </w:rPr>
              <w:t xml:space="preserve">pēc iespējas tiktu paziņots</w:t>
            </w:r>
            <w:r w:rsidR="00000000" w:rsidRPr="00000000" w:rsidDel="00000000">
              <w:rPr>
                <w:sz w:val="24"/>
                <w:rtl w:val="0"/>
              </w:rPr>
              <w:t xml:space="preserve"> saistībā ar informāciju, kas minēta 8.a panta 6. punkta a) un k) apakšpunktā, kā arī to vienību un personu nodokļu maksātāja identifikācijas numuru, par kurām tiek ziņots, – saistībā ar informāciju, kas minēta 8.aa panta 3. punkta b) apakšpunktā un 8.ab panta 14. punkta h)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ka pēc iespējas tiek iegūta informācija par nodokļu maksātāja identifikācijas numuru (saistībā ar DAC 8.ab panta 14. punkta h) apakšpunktu), ar šo noteikumu projektu tiek veikti grozījumi MK noteikumu Nr.210 25.8. apakšpunktā, nosakot, ka nodokļu maksātāja identifikācijas numurs ir jāsniedz, ja tāds ir pieejams. Savukārt Valsts ieņēmumu dienests, veicot uzraudzību un konstatējot, ka netika sniegta informācija par nodokļu maksātāja identifikācijas numuru, kaut bija pieejama, varēs piemērot atbildību saskaņā ar likuma "Par nodokļiem un nodevām" 32.</w:t>
            </w:r>
            <w:r w:rsidR="00000000" w:rsidRPr="00000000" w:rsidDel="00000000">
              <w:rPr>
                <w:sz w:val="24"/>
                <w:vertAlign w:val="superscript"/>
                <w:rtl w:val="0"/>
              </w:rPr>
              <w:t xml:space="preserve">5</w:t>
            </w:r>
            <w:r w:rsidR="00000000" w:rsidRPr="00000000" w:rsidDel="00000000">
              <w:rPr>
                <w:sz w:val="24"/>
                <w:rtl w:val="0"/>
              </w:rPr>
              <w:t xml:space="preserve"> panta trešo 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pārņemtu visas DAC8 prasības tiks veikti grozījumi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2016. gada 5. janvāra noteikumos Nr. 20 "Kārtība, kādā finanšu iestāde izpilda finanšu kontu pienācīgas pārbaudes procedūras un sniedz Valsts ieņēmumu dienestam informāciju par finanšu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2023. gada 7. marta noteikumos Nr. 97 "Noteikumi par automātisko informācijas apmaiņu par pārdevējiem, kuri gūst ienākumus, izmantojot digitālās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2017. gada 4. jūlija noteikumos Nr. 397 “Noteikumi par starptautiskas uzņēmumu grupas pārskatu par katru valsti”.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https://tapportals.mk.gov.lv/public_participation/30f86bd5-64b4-4d54-b2c9-86576b8ae53d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13.marta līdz 27.martam norisinājās publiskā apspriešana, kuras ietvaros viedokļi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noteikumu projekta pieņemšanu sabiedrība tiks informēta ar publikāciju oficiālajā izdevumā "Latvijas Vēstnesis" un normatīvo aktu datu bāzē www.likumi.lv.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25-TA-382</w:t>
    </w:r>
    <w:r>
      <w:br/>
    </w:r>
    <w:r w:rsidR="00000000" w:rsidRPr="00000000" w:rsidDel="00000000">
      <w:rPr>
        <w:rtl w:val="0"/>
      </w:rPr>
      <w:t xml:space="preserve">Izdrukāts 29.07.2026. 23.53 - 5.0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25-TA-382</w:t>
    </w:r>
    <w:r>
      <w:br/>
    </w:r>
    <w:r w:rsidR="00000000" w:rsidRPr="00000000" w:rsidDel="00000000">
      <w:rPr>
        <w:rtl w:val="0"/>
      </w:rPr>
      <w:t xml:space="preserve">Izdrukāts 29.07.2026. 23.53 - 5.0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anotācija_(ex_ante)_25-TA-382.docx</dc:title>
</cp:coreProperties>
</file>

<file path=docProps/custom.xml><?xml version="1.0" encoding="utf-8"?>
<Properties xmlns="http://schemas.openxmlformats.org/officeDocument/2006/custom-properties" xmlns:vt="http://schemas.openxmlformats.org/officeDocument/2006/docPropsVTypes"/>
</file>