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19. oktobra noteikumos Nr. 693 "Būvju vispārīgo prasību būvnormatīvs LBN 200-21""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2021. gada 19. oktobra noteikumos Nr. 693 "Būvju vispārīgo prasību būvnormatīvs LBN 200-21"" (turpmāk - projekts) izstrādāts, lai Ministru kabineta 2021. gada 19. oktobra noteikumos Nr. 693 "Būvju vispārīgo prasību būvnormatīvs LBN 200-21" (turpmāk - LBN 200-21) noteiktu prasības pašvaldību ielas būvniecībā nodrošināt rezerves pazemes ārējo inženiertīklu kabeļu kanalizāciju. Veicināt koksnes izmantošanu publisko ēku būvniecībā, lai samazinātu CO₂ emisijas un stiprinātu ilgtspējīgu, vietējo resursu izmantošanu.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samazināt administratīvo slogu elektronisko sakaru tīkla ierīkošanai pašvaldības ielu būvniecības gadījumā, nodrošinot ārējiem inženiertīkliem rezerves kanalizāciju (vietu, kur ierīkot elektronisko sakaru tīklu), izpildot Ministru kabineta 2024.gada 4.jūnija sēdes protokola Nr. 23 66. § 7.punktu. Veicināt koksnes izmantošanu publisko ēku būvniecībā, lai samazinātu CO₂ emisijas un stiprinātu ilgtspējīgu, vietējo resursu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9.</w:t>
      </w:r>
      <w:r w:rsidR="00000000" w:rsidRPr="00000000" w:rsidDel="00000000">
        <w:rPr>
          <w:vertAlign w:val="superscript"/>
          <w:rtl w:val="0"/>
        </w:rPr>
        <w:t xml:space="preserve">1</w:t>
      </w:r>
      <w:r w:rsidR="00000000" w:rsidRPr="00000000" w:rsidDel="00000000">
        <w:rPr>
          <w:rtl w:val="0"/>
        </w:rPr>
        <w:t xml:space="preserve"> panta otrā daļa nosaka, ka būvnormatīvus piemēro jaunas būvniecības vai pārbūves projektēšanai. Ja netiktu noteikts projekta spēkā stāšanās datums, tad šajā projektā noteiktās jaunās minimālās tehniskās prasības būtu attiecināmas arī uz tādiem būvprojektiem, kas pilnībā jau izstrādāti, bet būvvaldē vēl nav iesniegti. Lai novērstu nepieciešamību labot jau izstrādātu būvprojektu, ir nepieciešams pārejas laika periods, kurā jaunās minimālās tehniskās prasības nav obligāti piemērojamas. Nosakot konkrētu spēkā stāšanās termiņu tiek pieļauts būvvaldē iesniegt arī tādu būvprojektu, kas atbilst tām minimālajām tehniskajām prasībām, kas bija noteiktas līdz šī projekta spēkā stāšanās brīdim.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sloga mazināšanai elektronisko sakaru tīkla attīstībai Ekonomikas ministrijai sadarbībā ar Satiksmes ministriju, konsultējoties ar elektronisko sakaru nozares nevalstiskajām organizācijām, nepieciešams izvērtēt šādus pasākumus un nepieciešamības gadījumā veikt grozījumus atbilstošajos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kompleksu pasākumu (risinājumu) iespējas, lai uzlabotu elektronisko sakaru tīklu būvniecības procesa nodrošināšanu Būvniecības informācijas sistēmā (turpmāk - BIS), tostarp attiecībā uz elektronisko sakaru tīklu projekta saskaņošanu ar nekustamā īpašuma īpašniekiem un rakšanas atļauju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iespējas izstrādāt regulējumu, kas nosaka, ka pašvaldībām jaunas ielas būvniecības gadījumā vai būtiski pārbūvējot esošās ielas ir nepieciešams paredzēt ārējiem inženiertīkliem kopīgu kanalizāciju un iespēju robežās nepieciešams šos tīklus pārcelt uz kopīgo kanalizāciju.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 2024.gada 4.jūnija sēdes protokola Nr.23 66. § 7.punktā minētos uzdevumus, Ekonomikas ministrija rīkoja vairākas sanāksmes ar iesaistītajām pusēm (Satiksmes ministriju, elektronisko sakaru nozares nevalstiskajām organizācijām, inženiertīklu turētājiem, atsevišķām pašvaldībām), lai apspriestu iespējamos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elektronisko sakaru tīklu būvniecības procesa nodrošināšanu BIS, vērtējot sistēmas funkcionalitātes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BIS jau šobrīd ir iespējams nodrošināt tehnisko noteikumu izdevēju nosacījumu būvdarbu veikšanai atrādīšanu būvdarbu veicējam, izmantojot esošo saskaņošanas ar tehnisko noteikumu izdevējiem (turpmāk - TNI) funkcionalitāti - iespēju “saskaņots ar nosacījumiem”. Tas nozīmē, ka TNI, izvērtējot būvprojekta daļu, var apstiprināt projektu ar papildu nosacījumiem, un šie nosacījumi BIS būvdarbu veicējam  redzami sadaļā Būvdarbu gaitas būvprojekts. Tādējādi būvnieks būvdarbu laikā tiešsaistē redz visus viņam saistošos nosacījumus, tostarp tos, kas faktiski darbojas kā TNI rakšanas atļauja. Daļa TNI šo risinājumu jau izmanto praksē. Līdz ar to nav nepieciešams BIS iestrādāt jaunas atļaujas, bet drīzāk būtu jānodrošina izglītojošus pasākumus (pamācības, seminārus, praktiskus piemērus), lai visi būvniecības procesa dalībnieki vienādi izprastu, ka, saskaņojot būvprojektu ar nosacījumiem, tas aizstāj nepieciešamību radīt papildu rakšanas atļaujas BIS un palielināt slogu būvniecības procesa dalībniekiem. Papildus LVS Standartizācijas tehniskajā komitejā 1 "Siltuma, gāzes un ūdens tehnoloģija" ir uzsākts darbs pie standarta "Būvdarbu veikšana inženiertīklu aizsargjoslā" izstrādes, kas noteikts vienotas prasības būvdarbu veikšanai dažādu inženiertīklu aizsargjoslās.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iespējams nodrošināt ar BIS funkcionalitāti "Trešo pušu saskaņojumi" būvniecības lietas ietvaros, saskaņojumu ar zemes īpašniekiem, dzīvokļu īpašniekiem vai to pilnvarotajām biedrībām. Šī funkcionalitāte ļauj identificēt zemes un dzīvokļu īpašumus, kuriem nepieciešama piekrišana, piesaistīt piekrišanu sniedzējus (īpašniekus vai biedrības), pievienot un pārvaldīt saņemtās piekrišanas, redzēt visu informāciju vienuviet pie konkrētās būvniecības lietas. Līdz ar to BIS jau šobrīd nodrošina tehnisko pamatu tam, lai visi nepieciešamie saskaņojumi ar trešajām pusēm notiktu elektroniski, bez paralēlas papīra dokumentu aprites. Tomēr, lai process darbotos pilnvērtīgi, nepieciešams risināt kontaktinformācijas trūkuma problēmu un vienlaikus veikt izglītojošus pasākumus, lai visas puses konsekventi izmantotu šos rīkus. Tas būtiski samazinātu administratīvo slogu, padarītu procesu caurspīdīgāku un ļautu BIS pilnībā kalpot kā vienotajai platformai saskaņojumiem ar trešajām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izvērtējot iespējas, ko nodrošina BIS funkcionalitāte, nav nepieciešams veikt grozījumus normatīvajos aktos saistībā ar elektronisko sakaru tīklu būvniecības procesa nodrošināšanu BIS (tostarp attiecībā uz elektronisko sakaru tīklu projekta saskaņošanu ar nekustamā īpašuma īpašniekiem un rakšanas atļauju izsniegšanu), bet jāveicina BIS efektīva lietošana un izpratni par pieejamo funkcionalitāti būvniecības procesa dalībniekiem, tostarp elektronisko sakaru komersantiem, TNI.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ka pašvaldībām jaunas ielas būvniecības gadījumā vai būtiski pārbūvējot esošās ielas ir nepieciešams paredzēt ārējiem inženiertīkliem kopīgu kanalizāciju, nepieciešams veikt grozījumus LBN 200-21 un noteikt šādu pienākumu pašvaldību ielu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2.Latvija ir viena no mežiem bagātākajām valstīm Eiropā, un koksne attiecīgi ir nozīmīgākais vietējais atjaunojamais resurss ar lielu pievienotās vērtības radīšanas potenciālu. Tomēr šobrīd publiskajā būvniecībā koka izmantošana ir salīdzinoši zema, un galvenokārt tiek izmantoti tradicionālie materiāli – betons un tērauds, kuru ražošana ir energoietilpīga un rada būtiskas siltumnīcefekta gāzu emisijas. Esošajā regulējumā nav noteikts pienākums publiski finansētās ēkās izmantot ilgtspējīgus materiālus vai prioritāri izvēlēties koka būvkonstrukcijas, līdz ar to publisko ēku būvniecībā atjaunojamie materiāli tiek izmantoti nelielā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darbojas vairāki uzņēmumi, kas ražo dažādas modernās koka konstrukcijas – līmētās koka sijas un paneļus, krusteniski līmētus koka (CLT) paneļus, moduļveida koka konstrukcijas, tomēr esošais vietējais pieprasījums ir nepietiekams, līdz ar to ir ierobežotas iespējas attīstīt augstākas pievienotās vērtības produktu ražošanu. Palielinot vietējo pieprasījumu ar normatīvu grozījumu palīdzību, būs iespējams veicināt ražošanas kapacitāti un tālāku nozares attīstību, inovācijas un eksportspēju.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Koka kā būvkonstrukciju materiāla izmantošanu mūsdienu publisko ēku būvniecībā galvenokārt ierobežo divi faktori – ugunsdrošība un pastiprināta mitruma vai ūdens iedarbība. Abos gadījumos koka konstrukcijas var tikt efektīvi aizsargātas ar mūsdienīgiem tehniskajiem risinājumiem, tomēr šī aizsardzība ir iespējama tikai līdz noteiktai robežai, kas nosaka, kādos gadījumos koks ir piemērots kā nesošo būvkonstrukciju materiāls.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ugunsdrošību būtiskās prasības nosaka būvnormatīvs “Būvju ugunsdrošība” (LBN 201-15), kurā noteiktas būvju ugunsnoturības klases un konstrukciju ugunsizturības robežas. Koka konstrukcijas spēj sasniegt noteiktās ugunsizturības prasības, piemēram, ar pietiekamu šķērsgriezumu, aizsargkārtām vai intumescentajām pārklājmastikām, tomēr augstceltnēm, ēkām ar paaugstinātu ugunsdrošības klasi vai noteiktām funkcijām šīs prasības var kļūt tehniski vai ekonomiski neizpildāmas, un tādos gadījumos normatīvi faktiski izslēdz koka nesošo elementu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pastiprināta mitruma un ūdens iedarbība (piemēram, baseinu vannas, ražošanas telpas ar noturīgu mitrumu vai tiešu ūdens slodzi) netiek tieši regulēta normatīvajos aktos kā aizliegums koka konstrukcijām. Šādos gadījumos lēmums par piemērotību jāpieņem būvprojekta izstrādātājam, izvērtējot vides apstākļus, koka aizsardzības un uzturēšanas iespējas, kā arī ēkas ekspluatācijas režīmu. Kaut arī koku iespējams impregnēt, aizsargāt ar pārklājumiem vai atdalīt no mitruma ar hidroizolācijas slāņiem, ilgstošai ūdens ietekmei pakļautās konstrukcijās tā kalpošanas laiks un drošums var būt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Pastiprināta mitruma ietekme ir arī iemesls, kādēļ šī prasība piemērojama tikai virszemes konstrukcijām – pazemes konstrukcijas (piemēram, pamati, pagrabi un pazemes stāvvietas) ir pastāvīgi pakļautas grunts mitruma un gruntsūdeņu iedarbībai, kas ievērojami apgrūtina un sadārdzina koka izmantošanu šajās zonās, turklāt nereti tehniski neļauj nodrošināt pietiekamu koka konstrukciju ilgmūžību.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5.</w:t>
      </w:r>
      <w:r w:rsidR="00000000" w:rsidRPr="00000000" w:rsidDel="00000000">
        <w:rPr>
          <w:vertAlign w:val="superscript"/>
          <w:rtl w:val="0"/>
        </w:rPr>
        <w:t xml:space="preserve">1</w:t>
      </w:r>
      <w:r w:rsidR="00000000" w:rsidRPr="00000000" w:rsidDel="00000000">
        <w:rPr>
          <w:rtl w:val="0"/>
        </w:rPr>
        <w:t xml:space="preserve"> punkta atruna paredz, ka publisko līdzekļu finansētās ēkās virszemes nesošās konstrukcijas primāri jāprojektē no koka, izņemot gadījumus, kad to izmantošanu neļauj ugunsdrošības prasības vai pastiprināts mitrums un ūdens iedarbība uz konstrukcijām. Šāda pieeja veicina koksnes kā ilgtspējīga materiāla izmantošanu, vienlaikus nodrošinot drošību un ekspluatācijas uzticamību.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pašvaldību ielu būvniecības procesu, tiesību aktos nav noteiktas prasības par pazemes ārējo inženiertīklu vienlaicīgu būvniecību ar ielu būvdarbiem - ne izbūvējot jaunas ielas, ne arī būtiski pārbūvējot esošas ielas. Ne reti ielās nepārtraukti kāds ārējo inženiertīklu turētājs (tiesiskais valdītājs) veic būvdarbus atbilstoši savām vajadzībām vai attīstības perspektīvām, ietekmējot transporta līdzekļu satiksmi un radot ielas segumā atvērumus, kas pēc tam rada nevienmērīgu segas klājumu. Lai veicinātu jau sākotnēji ar ielas būvniecību paredzēt arī pazemes ārējo inženiertīklu kanalizācijas būvniecību, nepieciešams noteikt šādu pienākumu pašvaldību ielu īpašniekiem. Apspriežot ar inženiertīklu turētājiem un atsevišķu pašvaldību ielu īpašniekiem par iespēju regulējumā noteikt vienotu kārtību, lai nodrošinātu pēcāk ielās veikt mazāku skaitu būvdarbu dēļ dažādu pazemes ārējo inženiertīklu ierīkošanas. Kopumā ārējo inženiertīklu turētāji atbalstīja, bet norādīja uz atsevišķu ārējo inženiertīklu savstarpējo attālumu ievērošanu, kā arī no drošības viedokļa savstarpēji nodalāmi ārējie inženiertīkli, kuru nedrīkstētu ierīkot vienā kopīgā kanalizācijā. Pašvaldību ielu īpašnieki kopumā šādu pieeju arī atbalstīja, bet norādīja uz nepieciešamību rast finansējumu šādu ārējo inženiertīklu kanalizācijas būvniecībai.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elektronisko sakaru tīkla attīstībai pašvaldības ielas būvniecības procesā projekts paredz noteikt, ka jaunas iela būvniecības gadījumā vienlaikus tiek izbūvēta arī rezerves pazemes kabeļu kanalizācija, kas nodrošinātu nākotnes perspektīvas attīstīt elektronisko sakaru inženiertīklus vai cita veida pazemes inženiertīklu, neveicot būtiskus ielas pārbūves.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ielas pārbūves gadījumā, izvērtē iespēju pazemes ārējo inženiertīklu pārbūvi kopīgā kanalizācijā, vai, ja tehniski tas ir iespējams, izbūvēt jaunu rezerves kabeļu kanalizāciju. Tādējādi pašvaldības ielas īpašnieks varēs iznomāt kabeļa kanalizāciju elektronisko sakaru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lietots Ministru kabineta 2013.gada 30.aprīļa noteikumu Nr.240 "Vispārīgie teritorijas plānošanas, izmantošanas un apbūves noteikumi" 86.punktā noteiktais ielu iedalījums pēc to funkcijas un nozīmēs, proti, galvenā iela (B kategorija) – valsts galveno vai reģionālo autoceļu sākums, turpinājums vai beigas ar dominējošu savienošanas funkciju un pakārtotu piekļūšanas funkciju; maģistrālā iela (C kategorija) – nodrošina savienošanas un piekļūšanas funkciju; pilsētas vai ciema nozīmes iela (D kategorija) – nodrošina piekļūšanu atsevišķiem zemesgabaliem, noteiktās diennakts stundās var veikt arī savienošanas funkciju; vietējas nozīmes iela (E kategorija) – nodrošina uzturēšanās funkciju, pakārtoti veicot arī piekļūšanas funkciju.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"Par autoceļiem" 3. panta pirmo daļu, kas nosaka autoceļu iedalījumu, projekta prasības nepiemēro valsts autoceļos, komersantu un māju ceļos veicamajiem būvdarbiem.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lielā apjomā eksportē neapstrādātu apaļkoksni vai zāģmateriālus. 2024.gadā no Latvijas kopējā preču eksporta (18 681,1 milj. eiro) “Koks, koka izstrādājumi un kokogle” veidoja ~16,11%, kurā ietilpstošās kategorijas “Zāģmateriāli” un “Apaļkoks” sastādīja attiecīgi 25,9% (779,0 milj. eiro) un 12,2% (368,6 milj. eiro). Šāda prakse neļauj pilnvērtīgi attīstīt vietējo kokapstrādes nozari un būvkonstrukciju ražošanu ar augstāku pievienoto vērtību. Palielinoties pieprasījumam pēc koka konstrukcijām vietējā tirgū, būtu iespējams attīstīt tālāku koksnes pārstrādi, radīt jaunas ražošanas kapacitātes, darba vietas reģionos un sekmēt nozares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būtiskākie argumenti, kas kavējuši koka plašāku izmantošanu būvniecībā, ir bijuši saistīti ar ugunsdrošību, mitruma izturību un mehānisko stiprību. Taču mūsdienās pieejamie risinājumi – inženiertehniski izstrādātas koka konstrukcijas (piemēram, līmētā koksne, krusteniski līmētie koka paneļi), specializēti aizsardzības pārklājumi un impregnēšanas tehnoloģijas – nodrošina augstu ugunsdrošības un mitruma noturības līmeni, kā arī ilgmūžību. Koksnei ir pietiekama mehāniskā stiprība, un mūsdienu tehnoloģijas ļauj droši projektēt arī lielākas ēkas, lielus laidumus un sarežģītas konstrukcijas, kas apliecina materiāla konkurētspēju ar tradicionālajiem būvmateriāliem.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pieredze (īpaši Skandināvijā un citās Eiropas valstīs) rāda, ka koksne var būt pamata materiāls modernu, ugunsdrošu un ilgtspējīgu publisku ēku būvniecībā. Latvijas būvnormatīvu sistēma līdz šim bijusi konservatīvāka, kas ierobežojusi šāda materiāla plašāku pielietojumu. Šo noteikumu projekta laikā tiek virzīti arī grozījumi Ministru kabineta 2015. gada 30. jūnija noteikumos Nr.333 "Noteikumi par Latvijas būvnormatīvu LBN 201-15 "Būvju ugunsdrošība"", kas paredz paplašināt pieļaujamos parametrus koka būvēm (augstumus, stāvu platības u. c.), tādējādi radot iespēju plašākai koka konstrukciju izmantošanai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Latvija ir apņēmusies īstenot Eiropas Savienības Zaļā kursa, Nacionālā enerģētikas un klimata plāna 2021.–2030. gadam un Latvijas ilgtspējīgas attīstības stratēģijas mērķus, tai skaitā klimata neitralitātes sasniegšanu līdz 2050. gadam. Šo mērķu sasniegšana Bez nepieciešamām normatīvām prasībām būvniecības nozarē var būtiski kavēties.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no atjaunojamiem resursiem ražotu būvizstrādājumu izmantošanu būvniecībā, tiek paredzēts noteikt, ka publiski finansētu ēku nesošajās konstrukcijās priekšroka dodama koka būvkonstrukcijām, ja to izmantošanu pieļauj ugunsdrošības prasības un neierobežo pastiprināta mitruma vai ūdens iedarbība. Prasība attieksies uz ēkām, kuru būvniecības lieta ierosināta pēc noteikumu spēkā stāšanās. Šāda pieeja sekmēs ilgtspējīgu dabas resursu izmantošanu, samazinās būvniecības radītās siltumnīcefekta gāzu emisijas, veicinās vietējās kokapstrādes nozares attīstību un stiprinās Latvijas virzību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ielas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tīklu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Kokapstrādes uzņēmumi un būvniecības uzņēmumi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Rezerves kabeļu kanalizācijas būvniecība pašvaldību ielu īpašniekiem radīs papildus izmaksas nākotnes būvniecības iecerēs. Pārējiem būvniecības procesa dalībniekiem regulējuma izmaiņas nerada papildus izmaksas. Salīdzinot tirgū pieejamo kabeļu kanalizācijas Ø 50 mm (Gofrētā elektroinstalācijas caurule D50 mm / 450 N (sarkanā)) ar Ø 110 mm (Gofrētā elektroinstalācijas caurule D110 mm / 450 N (sarkanā)) izmaksas, kas sastāda 0.84 euro/m un 2.32 euro/m, kopumā palielinās kabeļu kanalizācijas ierīkošanas izmaksas pozīcijā - materiālu izmaksas. Tomēr ņemot vērā, ka pašas ielas būvniecības izmaksas, piemēram, vidēji viens kilometrs asfalta segums (bez inženiertīkliem un citām būvēm) izmaksātu ap 1 miljonu, tas palielinājums ir neliels - apmēram no 1000 - 2500 euro. Pie tam jāmin, ka pašvaldībām, attīstot teritoriju, ir jānodrošina tā ar nepieciešamo infrastruktūru, proti, ne tikai ar ielas būvniecību, bet arī ar ārējiem inženiertīkliem, ja tā konkrētajā teritorijā ir noteikusi obligātu pieslēgšanos pašvaldības ārējiem inženiertīkliem, piemēram, ūdens un kanalizācijas, siltumapgādei.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tīklu komersantiem regulējuma izmaiņas nerada papildus izmaksas, bet atvieglos elektronisko sakaru tīkla attīstības perspektīvas, ierīkojot inženiertīklu jau izbūvētā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palielinās pieprasījumu pēc vietēji ražotiem koka būvmateriāliem, tādējādi sekmējot kokapstrādes nozares un augstākas pievienotās vērtības produktu attīstību. Administratīvais slogs būtiski nepalielināsies, jo prasība tiks integrēta projektēšanas un iepirkumu procesā.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vēl tiks nodrošināta.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Rezultāti tiks atspoguļoti pēc saņemtajiem viedokļiem.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konkrētu pašvaldības teritoriju un tajā izbūvējot pašvaldības ielu kopā ar rezerves pazemes kabeļa kanalizāciju, tiks nodrošināta nākotnes perspektīva nodrošināt arī elektronisko sakaru pakalpojumus bez būtiskiem ielas pārbūves darbiem.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sekmēs siltumnīcefekta gāzu emisiju samazināšanu un aprites ekonomikas principu īstenošanu būvniecībā, tādējādi veicinot pāreju uz klimatneitrālu būvniecību.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25-TA-1857</w:t>
    </w:r>
    <w:r>
      <w:br/>
    </w:r>
    <w:r w:rsidR="00000000" w:rsidRPr="00000000" w:rsidDel="00000000">
      <w:rPr>
        <w:rtl w:val="0"/>
      </w:rPr>
      <w:t xml:space="preserve">Izdrukāts 29.07.2026. 22.39 - 1.0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25-TA-1857</w:t>
    </w:r>
    <w:r>
      <w:br/>
    </w:r>
    <w:r w:rsidR="00000000" w:rsidRPr="00000000" w:rsidDel="00000000">
      <w:rPr>
        <w:rtl w:val="0"/>
      </w:rPr>
      <w:t xml:space="preserve">Izdrukāts 29.07.2026. 22.39 - 1.0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anotācija_(ex_ante)_25-TA-1857.docx</dc:title>
</cp:coreProperties>
</file>

<file path=docProps/custom.xml><?xml version="1.0" encoding="utf-8"?>
<Properties xmlns="http://schemas.openxmlformats.org/officeDocument/2006/custom-properties" xmlns:vt="http://schemas.openxmlformats.org/officeDocument/2006/docPropsVTypes"/>
</file>