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13. decembra noteikumos Nr. 949 "Noteikumi par augu aizsardzības līdzekļu laišanu tirgū""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2011. gada 13. decembra noteikumos Nr. 949 "Noteikumi par augu aizsardzības līdzekļu laišanu tirgū" (turpmāk – noteikumu projekts) sagatavots, lai Ministru kabineta 2011. gada 13. decembra noteikumos Nr. 949 "Noteikumi par augu aizsardzības līdzekļu laišanu tirgū" (turpmāk – noteikumi Nr. 949) precizētu atsevišķas normas, lai nodrošinātu to atbilstību aktuālajai praksei un mazinātu administratīvo slogu. Noteikumu projekts paredz pilnveidot regulējumu attiecībā uz augu aizsardzības līdzekļu (turpmāk - AAL) apriti, tostarp, precizēt prasības attiecībā uz zema riska augu aizsardzības līdzekļiem, uzlabot izplatīšanas datu uzskaiti un veicināt datu iesniegšanas digitalizāciju, kā arī precizēt terminoloģiju un normu piemērošanu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949 ir jāgroza, lai precizētu prasības attiecībā uz AAL izplatīšanu un uzglabāšanu, pielāgotu regulējumu zema riska AAL, nodrošinātu AAL izplatīšanas datu iesniegšanu elektroniskā formā, precizētu prasības attiecībā uz laboratoriju akreditāciju, skaidrotu terminoloģiju, kā arī noteiktu kārtību AAL ievešanai un izplatīšanai gadījumos, kad tie sākotnēji paredzēti citām Eiropas Savienības dalībvalstīm.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regulējums noteikumos Nr. 949 ne visos gadījumos pilnībā atbilst praksē piemērotajai augu aizsardzības līdzekļu aprites kārtībai. AAL izplatīšanas datu uzskaite un iesniegšana pašlaik nav pilnībā pielāgota elektroniskai datu apritei, un informācijas iesniegšana ne vienmēr notiek vienotā, mašīnlasāmā formātā, kas apgrūtina datu apstrādi un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tiek konstatētas situācijas, kad Latvijā tiek ievesti un izplatīti AAL, kas sākotnēji paredzēti citām Eiropas Savienības dalībvalstīm, un šādu gadījumu regulējums noteikumos Nr. 949 nav noteikts, kas rada papildu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949 paredzēts, ka AAL kvalitātes novērtēšanai izmanto akreditētas laboratorijas analīžu rezultātus, tomēr regulējumā nav precizēts konkrēts akreditācijas standarts, kas var radīt interpretācijas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trešās reģistrācijas klases AAL ir ar zemu kaitīguma pakāpi, tomēr uz tiem tiek attiecināti vispārīgie ierobežojumi izvietošanai un uzglabāšanai.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noteikumos lietotā terminoloģija un atsevišķas prasības attiecībā uz pārtikas produktu, lopbarības, mājdzīvnieku barības un medikamentu tirdzniecību un uzglabāšanu AAL tirdzniecības un uzglabāšanas vietās nav pietiekami viennozīmīgas, kas praksē var radīt atšķirīgu interpretāciju.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 (turpmāk – dienests) ir uzsācis AAL izplatīšanas datu uzskaites sistēmas digitalizāciju, lai izveidotu vienotu datu aprites, kontroles un analīzes vidi, kas nodrošina efektīvu atskaišu sagatavošanu un statistikas iegūšanu. Lai vienkāršotu AAL izplatīšanas datu iegūšanas procedūru un mazinātu administratīvo slogu gan AAL izplatītājiem, gan dienestam, paredzēts, ka AAL izplatītāji informāciju iesniedz dienestam, izmantojot mašīnlasāmu veidlapu vai augšupielādējot to dienesta uzturētajā Kultūraugu uzraudzības valsts informācijas sistēmā (turpmāk - informācijas sistēma), līdz ar to nepieciešams precizēt attiecīgo regulējumu noteikumu Nr. 949 4., 31., 32. un 32.</w:t>
      </w:r>
      <w:r w:rsidR="00000000" w:rsidRPr="00000000" w:rsidDel="00000000">
        <w:rPr>
          <w:vertAlign w:val="superscript"/>
          <w:rtl w:val="0"/>
        </w:rPr>
        <w:t xml:space="preserve">1</w:t>
      </w:r>
      <w:r w:rsidR="00000000" w:rsidRPr="00000000" w:rsidDel="00000000">
        <w:rPr>
          <w:rtl w:val="0"/>
        </w:rPr>
        <w:t xml:space="preserve"> punktā. Lai AAL izplatītājiem dotu laiku pielāgoties jaunajām prasībām, noteikumu projektā ir paredzēts pārejas periods, nosakot, ka noteikumu 4., 31., 32. un 32.</w:t>
      </w:r>
      <w:r w:rsidR="00000000" w:rsidRPr="00000000" w:rsidDel="00000000">
        <w:rPr>
          <w:vertAlign w:val="superscript"/>
          <w:rtl w:val="0"/>
        </w:rPr>
        <w:t xml:space="preserve">1</w:t>
      </w:r>
      <w:r w:rsidR="00000000" w:rsidRPr="00000000" w:rsidDel="00000000">
        <w:rPr>
          <w:rtl w:val="0"/>
        </w:rPr>
        <w:t xml:space="preserve"> punkta prasības stājas spēkā ar 2027. gada 1. janvāri (10. noteikumu projekta 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augu aizsardzības līdzekļu izplatīšanas datu uzskaites digitalizāciju un vienotu datu apriti, noteikumu projekta 1. punkts paredz noteikt, ka speciālās atļaujas (licences) īpašnieks informāciju par AAL ievešanu iesniedz informācijas sistēmā, norādot konkrētus datus par AAL.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projekta 6. punkts nosaka pienākumu regulāri iesniegt datus par izplatītajiem AAL, precizējot iesniedzamās informācijas saturu par darījumiem un pircējiem, bet 7. punkts paredz informācijas iesniegšanu par neprofesionālajiem lietotājiem izplatītajiem AAL noteiktā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8. punktu tiek noteikts, ka minētā informācija iesniedzama, izmantojot mašīnlasāma formāta veidlapu vai augšupielādējot to informācijas sistēmā, tādējādi nodrošinot vienotu pieeju datu iesniegšanai, uzlabojot datu apstrādes iespējas un mazinot administratīvo slogu gan komersantiem, gan dienestam.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AAL tirgus specifiku un sezonālās svārstības, praksē veidojas situācijas, kad Latvijas tirgū trūkst AAL, kas paredzēti un marķēti Latvijas tirgum, un AAL reģistrācijas apliecības īpašnieki novirza Latvijai AAL, kas sākotnēji paredzēti citām Eiropas Savienības dalībvalstīm. Šādi gadījumi noteikumos Nr. 949 nav noteikti, un atļauju izsniegšana notiek individuāli, radot papildu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 un vienotu kārtību, kā arī mazinātu administratīvo slogu, noteikumu projekta 2. punkts paredz papildināt noteikumus Nr. 949 ar 17.</w:t>
      </w:r>
      <w:r w:rsidR="00000000" w:rsidRPr="00000000" w:rsidDel="00000000">
        <w:rPr>
          <w:vertAlign w:val="superscript"/>
          <w:rtl w:val="0"/>
        </w:rPr>
        <w:t xml:space="preserve">1</w:t>
      </w:r>
      <w:r w:rsidR="00000000" w:rsidRPr="00000000" w:rsidDel="00000000">
        <w:rPr>
          <w:rtl w:val="0"/>
        </w:rPr>
        <w:t xml:space="preserve"> punktu, paredzot prasības AAL ievešanai un izplatīšanai gadījumos, kad AAL sākotnēji paredzēts citai Eiropas Savienības dalībvalstij, nosakot, ka AAL ir jābūt identiskam Latvijā reģistrētam AAL, marķētam latviešu valodā un ka reģistrācijas apliecības īpašnieks uzņemas atbildību par tā kvalitāti un izcelsmi.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949 22. punkts paredz, ka AAL izplatītājs iesniedz dienestā akreditētas laboratorijas analīžu rezultātus, lai saņemtu lēmumu par AAL izplatīšanas termiņa pagarināšanu, tomēr regulējumā nav noteikts, atbilstoši kuram standartam laboratorijai jābūt akreditētai.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viennozīmīgu prasību piemērošanu attiecībā uz laboratoriju akreditāciju, noteikumu projekta 3. punkts paredz precizēt noteikumu Nr. 949 22. punktu, nosakot, ka AAL analīzes veic akreditēta laboratorija atbilstoši standartam </w:t>
      </w:r>
      <w:r w:rsidR="00000000" w:rsidRPr="00000000" w:rsidDel="00000000">
        <w:rPr>
          <w:i w:val="1"/>
          <w:rtl w:val="0"/>
        </w:rPr>
        <w:t xml:space="preserve">ISO/IEC</w:t>
      </w:r>
      <w:r w:rsidR="00000000" w:rsidRPr="00000000" w:rsidDel="00000000">
        <w:rPr>
          <w:rtl w:val="0"/>
        </w:rPr>
        <w:t xml:space="preserve"> 17025.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papildus Latvijas Augu aizsardzības līdzekļu reģistrā jau esošajiem AAL trešajā AAL reģistrācijas klasē ir reģistrējis AAL, kuru sastāvā ietilpst darbīgās vielas ar zemu kaitīguma pakāpi attiecībā uz cilvēku un dzīvnieku veselību un vidi, tāpēc uz šiem AAL nav nepieciešams attiecināt ierobežojumus, kas minēti noteikumu Nr. 949 27. un 40. punktā.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tiek precizēti noteikumu 27. un 40. punkta prasības, lai nodrošinātu normatīvās bāzes atbilstību jaunajai praksei (noteikumu projekta 5. un 10. punkts). Attiecīgi šie līdzekļi nav obligāti jāizvieto slēgtā skapī vai plauktā atsevišķi no citām precēm tirdzniecības vai uzglabāšanas vietās un konkrētos zema riska AAL nevar pieskaitīt pie iepriekš noteiktā AAL sadalījuma, uz kuru attiecas noteikumos minētie ierobežojumi.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949 26. un 38. punktā noteikts, ka AAL tirdzniecības vai uzglabāšanas vietās nedrīkst atrasties pārtikas produkti, medikamenti un lopbarība, tomēr termins "lopbarība" nav viennozīmīgi saprotams un neietver mājdzīvnieku barību.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precizētu regulējumu, noteikumu projekta 4. un 8. punkts paredz papildināt noteikumu Nr. 949 26. un 38. punktu, nosakot, ka AAL tirdzniecības vai uzglabāšanas vietās aizliegta arī mājdzīvnieku barības tirdzniecība vai uzglabāšana.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(AAL izplatītāji), kas iesniedz datus par AAL ievešanu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(AAL izplatītāji), kas regulāri iesniedz datus par izplatītajiem AAL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(AAL izplatītāji), kas iesniedz informāciju par neprofesionālajiem AAL lietotājiem izplatītajiem 3. reģistrācijas klases AAL</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juridiskās personas (AAL izplatītājus), jo tām būs pienākums iesniegt informācijas sistēmā informāciju par AAL ievešanu, kā arī regulāri iesniegt datus par izplatītajiem AAL, tostarp, informāciju par darījumiem un pircējiem. Tāpat izplatītājiem būs pienākums reizi gadā iesniegt informāciju par neprofesionālajiem lietotājiem izplatītajiem AAL. Minētās prasības rada papildu pienākumu apkopot, strukturēt un iesniegt informāciju, tādējādi palielinot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projekts paredz administratīvā sloga samazinājumu, kas saistīts ar datu iesniegšanas digitalizāciju, nodrošinot vienotu informācijas iesniegšanu mašīnlasāmā formātā vai augšupielādējot to informācijas sistēmā, tādējādi samazinot manuālu datu ievadi un informācijas apstrādes laiku. Tāpat tiek noteikta skaidra kārtība AAL ievešanai un izplatīšanai gadījumos, kad tie sākotnēji paredzēti citām Eiropas Savienības dalībvalstīm, kā arī precizētas prasības attiecībā uz AAL uzglabāšanu un izvietošanu, kas samazina interpretācijas risku un ar administratīvajām procedūrām saistīto laika patēriņu.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 (AAL izplatītāji), kas iesniedz datus par AAL ievešanu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likme AAL izplatītājam, kas iesniedz datus par AAL ievešanu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patēriņš AAL izplatītājam, kas iesniedz datus par AAL ievešanu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AAL izplatītāju skaits gada laikā, kas iesniedz datus par AAL ievešanu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 cik bieži AAL izplatītāji iesniedz datus par AAL ievešanu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Tās ir administratīvās izmaksas, kas radīsies juridiskajām personām, kurām būs pienākums septiņu darba dienu laikā pēc AAL ievešanas Latvijā iesniegt informācijas sistēmā informāciju par AAL, tostarp, par nosaukumu, ievešanas datumu, partijas numuru, ražošanas datumu, iepakojuma lielumu un apjomu. Šī prasība rada papildu laika patēriņu informācijas apkopošanai, sagatavošanai un ievadei sistēmā.  Palielinās administratīvās izmaksas saistībā ar papildu datu ievadi un informācijas iesniegšanu strukturētā formā. 
Aprēķina pamatā ir šādi pieņēmumi: vidējā stundas likme norādīta, ņemot vērā CSP datu informāciju par vidējo darba samaksu privātajā sektorā 2025. gadā. Vidējais laika patēriņš noteikts, ņemot vērā informāciju, kas tika iegūta, aptaujājot personas, kuras veic attiecīgās darbības. Personu skaits tika noteikts, pamatojoties uz dienesta sniegto informāciju. Tā kā informācijas iesniegšana par AAL ievešanu notiek pēc katras ievešanas, aprēķinā izmantots vidējais reižu skaits gadā. Izmaksu novērtējums saistīts ar noteikumu 4. 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 (AAL izplatītāji), kas regulāri iesniedz datus par izplatītajiem AAL</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likme AAL izplatītājam, kas regulāri iesniedz datus par izplatītajiem AAL</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patēriņš AAL izplatītājam, kas regulāri iesniedz datus par izplatītajiem AAL</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AAL izplatītāju skaits gada laikā, kas regulāri iesniedz datus par izplatītajiem AAL</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 cik bieži AAL izplatītāji iesniedz datus par izplatītajiem AAL</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Tās ir administratīvās izmaksas, kas radīsies juridiskajām personām, kurām būs pienākums ne retāk kā reizi mēnesī iesniegt  informācijas sistēmā datus par izplatītajiem AAL, tostarp, informāciju par pārdošanas darījumiem, produktu apjomu, kā arī pircēju identifikācijas datiem. Šī prasība rada regulāru pienākumu apkopot, strukturēt un iesniegt informāciju, tādējādi palielinot administratīvo slogu. Izmaksu pieaugums saistīts ar biežāku un detalizētāku datu iesniegšanu salīdzinājumā ar esošo kārtību. 
Aprēķina pamatā ir šādi pieņēmumi: vidējā stundas likme norādīta, ņemot vērā CSP datu informāciju par vidējo darba samaksu privātajā sektorā 2025. gadā. Vidējais laika patēriņš noteikts, ņemot vērā informāciju, kas tika iegūta, aptaujājot personas, kuras veic attiecīgās darbības. Personu skaits tika noteikts, pamatojoties uz dienesta sniegto informāciju. Tā kā informācijas iesniegšana notiek ne retāk kā reizi mēnesī, aprēķinā izmantotas 12 reizes gadā. Izmaksu novērtējums saistīts ar noteikumu 31. 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 (AAL izplatītāji), kas iesniedz informāciju par neprofesionālajiem AAL lietotājiem izplatītajiem 3. reģistrācijas klases AAL</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likme AAL izplatītājam, kas iesniedz gada pārskatu par neprofesionālajiem lietotājiem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patēriņš AAL izplatītājam, kas iesniedz gada pārskatu par neprofesionālajiem lietotājiem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AAL izplatītāju skaits gada laikā, kas iesniedz gada pārskatu par neprofesionālajiem lietotājiem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 cik bieži AAL izplatītāji iesniedz gada pārskatu par neprofesionālajiem lietotājiem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Tās ir administratīvās izmaksas, kas radīsies juridiskajām personām, kurām būs pienākums ne retāk kā reizi gadā iesniegt informāciju par iepriekšējā kalendāra gada laikā neprofesionālajiem lietotājiem izplatītajiem AAL. Šī prasība rada papildu laika patēriņu datu apkopošanai un iesniegšanai.  
Aprēķina pamatā ir šādi pieņēmumi: vidējā stundas likme norādīta, ņemot vērā CSP datu informāciju par vidējo darba samaksu privātajā sektorā 2025. gadā. Vidējais laika patēriņš noteikts, ņemot vērā informāciju, kas tika iegūta, aptaujājot personas, kuras veic attiecīgās darbības. Personu skaits tika noteikts, pamatojoties uz dienesta sniegto informāciju. Tā kā informācijas iesniegšana notiek reizi gadā, aprēķinā izmantota viena reize gadā. Izmaksu novērtējums saistīts ar noteikumu 32. punktu.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26-TA-769</w:t>
    </w:r>
    <w:r>
      <w:br/>
    </w:r>
    <w:r w:rsidR="00000000" w:rsidRPr="00000000" w:rsidDel="00000000">
      <w:rPr>
        <w:rtl w:val="0"/>
      </w:rPr>
      <w:t xml:space="preserve">Izdrukāts 29.07.2026. 22.44 - 1.0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26-TA-769</w:t>
    </w:r>
    <w:r>
      <w:br/>
    </w:r>
    <w:r w:rsidR="00000000" w:rsidRPr="00000000" w:rsidDel="00000000">
      <w:rPr>
        <w:rtl w:val="0"/>
      </w:rPr>
      <w:t xml:space="preserve">Izdrukāts 29.07.2026. 22.44 - 1.0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anotācija_(ex_ante)_26-TA-769.docx</dc:title>
</cp:coreProperties>
</file>

<file path=docProps/custom.xml><?xml version="1.0" encoding="utf-8"?>
<Properties xmlns="http://schemas.openxmlformats.org/officeDocument/2006/custom-properties" xmlns:vt="http://schemas.openxmlformats.org/officeDocument/2006/docPropsVTypes"/>
</file>