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587 "Valsts un Eiropas Savienības atbalsta piešķiršanas kārtība pasākumam "Atbalsts zvejniekiem piekrastes zvejā"""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2022. gada 20. septembra noteikumus Nr. 587 "Valsts un Eiropas Savienības atbalsta piešķiršanas kārtība pasākumam "Atbalsts zvejniekiem piekrastes zvejā"" (turpmāk – noteikumi Nr. 587) paredzot saņemt atbalstu arī par selektīva murda izgatavošanu.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pretendentiem ir iespēja iegādāties selektīvus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tika noteikts sasniedzamais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atbalstu nepiešķir, ja Lauku atbalsta dienests projekta iesnieguma apstiprināšanas brīdī ir konstatējis kādu no grūtībās nonākuša uzņēmuma pazīmēm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pieņemot lēmumu par atbalsta sniegšanu, pirms projektu apstiprināšanas iesniegtos projektus sarindo atbilstoši projektu atlases kritērijiem (noteikumu Nr. 587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vispārējā kārtība lauku un zivsaimniecības attīstībai ir noteikta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Selektīvu zvejas rīku izgatavošanai Latvijā šobrīd nav pieejams pakalpojuma sniedzējs, kas pēc noteiktiem selektivitātes parametriem izgatavotu atbilstošus zvejas rīkus. Līdz ar to zvejniekiem nav iespējas šādu pakalpojumu iegādāties vietējā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par iespēju saņemt atbalstu arī selektīvu murdu izgatavošanai. Līdz ar to veikti nepieciešamie precizējumi atbalsta saņemšanas nosacījumos.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projektu īstenošanu atbalsta saņēmējs sasniedz Eiropas Parlamenta un Padomes 2021. gada 7. jūlija Regulas (ES) 2021/1139, ar ko izveido Eiropas Jūrlietu, zvejniecības un akvakultūras fondu un groza Regulu (ES) 2017/1004 (turpmāk – regula 2021/1139) 1. pielikumā minēto rezultātu rādītāju CR 08 - personas, kas gūst labumu (personu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iespēju izvēlēties regulas 2021/1139 1. pielikumā minētos rezultātu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vērtējot atbalsta pretendenta grūtībās nonākuša uzņēmuma pazīmes saskaņā ar normatīvajiem aktiem par valsts un Eiropas Savienības atbalsta piešķiršanas, administrēšanas un uzraudzības vispārējo kārtību lauku un zivsaimniecības attīstībai, saskaras ar problēmu, ka nav iespējas izvērtēt zemnieku saimniecības vai zvejnieku saimniecības atbilstību minētajām grūtībās nonākuša uzņēmuma pazīmēm, līdz ar to atbalsta pretendenta atbilstība tiek vērtēta ievērojot drošu finanšu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svītrots nosacījums par grūtībās nonākuša uzņēmuma vērtēšanu, jo Lauku atbalsta dienests atbalsta pretendenta atbilstību vērtē pamatojoties uz drošu finanšu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kritērijus bieži vien nepieciešams pārskatīt vai pielāgot konkrētā atbalsta pasākuma projektu iesniegumu pieņemšanas kārtai. Lai grozītu projektu atlases kritērijus, atbilstoši 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tie jāapstiprina Uzraudzības komitejā. Pēc Uzraudzības komitejas lēmuma tiek virzīti grozījumi konkrētajos Ministru kabineta noteikumos par atbalsta piešķiršanu, ietverot pārskatīto projektu atlases kritēriju pielikumu. Šāda pieeja rada administratīvo slogu iesaistītajām iestādēm un kavē projektu pieņemšanas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projektu atlases kritērijiem un paši projektu atlases kritēriji. Tā kā visi Uzraudzības komitejas lēmumi ir publiski pieejami, arī projektu atlases kritēriji ir publiski pieejami un zināmi atbalsta pretendentiem pirms katras projektu iesniegumu pieņemšanas kārtas, tāpēc nav nepieciešams tos ietvert attiecīgajos Ministru kabineta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"c"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5.punktā izteiktais noteikumu Nr. 587 17.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w:t>
            </w:r>
            <w:r w:rsidR="00000000" w:rsidRPr="00000000" w:rsidDel="00000000">
              <w:rPr>
                <w:sz w:val="24"/>
                <w:vertAlign w:val="superscript"/>
                <w:rtl w:val="0"/>
              </w:rPr>
              <w:t xml:space="preserve">1</w:t>
            </w:r>
            <w:r w:rsidR="00000000" w:rsidRPr="00000000" w:rsidDel="00000000">
              <w:rPr>
                <w:sz w:val="24"/>
                <w:rtl w:val="0"/>
              </w:rPr>
              <w:t xml:space="preserve"> punktā tiek ieviesta regulas 2021/1060 53. pantā paredzētā rīcības brīvība, nosakot iespēju izvēlēties fiksētas summas maksājumu selektīvu murdu izgatavošanai.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komerczvejnieki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25-TA-2815</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25-TA-2815</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anotācija_(ex_ante)_25-TA-2815.docx</dc:title>
</cp:coreProperties>
</file>

<file path=docProps/custom.xml><?xml version="1.0" encoding="utf-8"?>
<Properties xmlns="http://schemas.openxmlformats.org/officeDocument/2006/custom-properties" xmlns:vt="http://schemas.openxmlformats.org/officeDocument/2006/docPropsVTypes"/>
</file>