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"Valsts un Eiropas Savienības atbalsta piešķiršanas kārtība Eiropas Lauksaimniecības fonda lauku attīstībai intervencē "Sadarbība pārtikas īso piegāžu ķēžu darbības veicināšanai un piedāvājuma nodrošināšanai" atklātu projektu iesniegumu konkursu veidā 2023.–2027. gada plānošanas periodam"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"Valsts un Eiropas Savienības atbalsta piešķiršanas kārtība Eiropas Lauksaimniecības fonda lauku attīstībai intervencē "Sadarbība pārtikas īso piegāžu ķēžu darbības veicināšanai un piedāvājuma nodrošināšanai" atklātu projektu iesniegumu konkursu veidā 2023.–2027. gada plānošanas periodam" (turpmāk – noteikumu projekts) ir sagatavots, pamatojoties uz Lauksaimniecības un lauku attīstības likuma 5. panta ceturto daļu, kā arī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Komisijas 2022. gada 11. novembra Īstenošanas lēmumu Nr. CCI: 2023LV06AFSP001, ar kuru apstiprina Latvijas 2023.–2027. gada KLP stratēģisko plānu attiecībā uz Savienības atbalstu, ko finansē no Eiropas Lauksaimniecības garantiju fonda un Eiropas Lauksaimniecības fonda lauku attīstībai (turpmāk – Īstenošanas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2021. gada 2. decembra Regulu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Eiropas Komisijas 2022. gada 14. decembra Regulu (ES) 2022/2472, ar kuru, piemērojot Līguma par Eiropas Savienības darbību 107. un 108. pantu, dažu kategoriju atbalstu lauksaimniecības un mežsaimniecības nozarē un lauku apvidos atzīst par saderīgu ar iekšējo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Parlamenta un Padomes 2021. gada 24. jūnija Regulu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5)Eiropas Parlamenta un Padomes 2007. gada 20. jūnija Regulu (EK) Nr. 715/2007 par tipa apstiprinājumu mehāniskiem transportlīdzekļiem attiecībā uz emisijām no vieglajiem pasažieru un komerciālajiem transportlīdzekļiem (Euro 5 un Euro 6) un par piekļuvi transportlīdzekļa remonta un tehniskās apkopes informācijai.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2023. gada 1. janvāra sākās ar Komisijas 2022. gada 11. novembra Īstenošanas lēmumu apstiprinātā Latvijas Kopējās lauksaimniecības politikas stratēģiskā plāna 2023.–2027. gadam (turpmāk – KLP SP) ieviešana un jaunais 2023.–2027. gada Eiropas Lauksaimniecības garantiju fonda un Eiropas Lauksaimniecības fonda lauku attīstībai plānošanas periods. Noteikumos noteikta valsts un Eiropas Savienības atbalsta piešķiršanas kārtība intervencē LA20 "Sadarbība pārtikas īso piegāžu ķēžu darbības veicināšanai un piedāvājuma nodrošināšanai" (turpmāk – intervence).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Uzsākot jauno KLP SP īstenošanas periodu, jāizdod Ministru kabineta noteikumi, jo ir pieņemti Eiropas Savienības normatīvie akti par atbalsta piešķiršanu lauku attīstībai no Eiropas Lauksaimniecības fonda lauku attīstībai (turpmāk – ELFLA).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2022. gada 11. novembrī ar Īstenošanas lēmumu apstiprināja Zemkopības ministrijas sagatavoto KLP SP.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noteiktās intervences mērķis ir sekmēt vietējās produkcijas ilgtspējīgu patēriņu, attīstot īso pārtikas piegādes ķēžu darbību un piedāvājumu pārtikas produktu piegādes un sabiedriskās ēdināšanas pakalpojumu nodrošināšanai, izmantojot vietējās teritorijas dotās iespējas un potenciālu, kā arī sadarbību starp produktu ražotājiem, lai kopīgi virzītu vietējo produktu piedāvājumu tirgū un sekmētu to atpazīstamību.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ietverti atbalsta saņemšanas nosacījumi abās intervencē paredzētajās aktivitātēs – "Pārtikas īso piegāžu ķēžu darbības veicināšana" un "Produktu virzība tirgū", kā arī noteikta komercdarbības atbalsta nosacījumu piemērošana aktivitātē "Produktu virzība tirgū", kopīgie atbalsta saņemšanas nosacījumi, publiskā finansējuma veids un apmērs, pieteikšanās kārtība un iesniedzamie dokumenti, atbalsta saņemšanas un vērtēšanas nosacījumi, projekta īstenošanas nosacījumi un projekta uzraudzība aktivitātē "Pārtikas īso piegāžu ķēžu darbības veicināšana".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Latvijā ir problēmas ar vietējās produkcijas ilgtspējīgu patēriņu un īso pārtikas piegādes ķēžu izveidi, izmantojot vietējās teritorijas dotās iespējas un potenciālu. Tāpat ir jāveicina sadarbība starp produktu ražotājiem, lai kopīgi virzītu vietējo produktu piedāvājumu tirgū un sekmētu to atpazīstamību.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Sniegtais atbalsts veicinās pārtikas nozares dalībnieku sadarbību, lai, koncentrējot ražošanas apjomu, nodrošinātu labāku piekļuvi tirgum, tā optimizējot izmaksas un palielinot ienākumus. Tāpat atbalsts veicinās sadarbību starp lauksaimniekiem, pārstrādātājiem un citiem piegādes ķēdes un tirgus dalībniekiem, lai risinātu problēmas, kas saistītas ar nelielu produkcijas daudzumu, produktu izplatīšanu un uzglabāšanu. Īsās piegādes ķēdes samazinās potenciālo starpnieku skaitu starp ražotāju un galapatērētāju, samazinot ražošanas transportēšanas un pārdošanas izmaksas, lokalizējot lauksaimniecības un pārtikas produktus un sasaistot tos ar izcelsmes vietu. Intervences "Sadarbība pārtikas īso piegāžu ķēžu darbības veicināšanai un piedāvājuma nodrošināšanai" veids ir sadarbība saskaņā ar regulas 2021/2115 77. panta 1. punkta "f" apakšpunktā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Abās intervencē paredzētajās aktivitātēs atbalsta pretendents ir sadarbības grupa.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Intervencē ir paredzētas divas aktivitātes – "Pārtikas īso piegāžu ķēžu darbības veicināšana" un "Produktu virzība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Aktivitātē "Pārtikas īso piegāžu ķēžu darbības veicināšana" tiks sniegts atbalsts, lai, attīstot īsās piegādes ķēdes, veicinātu vietējās produkcijas ilgtspējīgu patēriņu un kopīgu piedāvājumu veidošanu, tā dodot lielāku iespēju arī sabiedriskās ēdināšanas pakalpojumu sniegšanas vietās (kafejnīcās, restorānos, izglītības, sociālās aprūpes, ārstniecības iestādēs u.c.) nodrošināt vietējo ražotāju izaudzētu un pārstrādātu kvalitatīvu pārtikas produktu pieejamību un līdz ar to veicinot vietējo ražotāju iespējas realizēt saražoto produkciju. Šāda veida sadarbība arī sekmēs lielāka apjoma saražotās produkcijas noietu vietējā teritorijā. Noteikumu projektā lietotais jēdziens "vietējais tirgus" ir visa Latvijas teritorija.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Aktivitātē "Pārtikas īso piegāžu ķēžu darbības veicināšana" kopīgu darbību īstenošanas nolūkā atbalsta ieguldījumus kopīgai izmantošanai paredzētā tikai vietējas izcelsmes pārtikas produktu uzglabāšanas infrastruktūrā, pamatlīdzekļu iegādē lauksaimniecības produktu pirmapstrādei, pārstrādei un iepakošanai, loģistikā un produkcijas izplatīšanā (tostarp ieguldījumus esošo datubāzu būtiskai uzlabošanai, piemēram, tīmekļvietnē "Novada garša"), kā arī produktu atpazīstamības pasākumu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lietotais jēdziens "būtiska uzlabošana" nozīmē, piemēram, datubāzu funkcionālo īpašību un lietojuma, tostarp lietojamības ērtuma,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piešķiršanai, lai iegādātos pamatlīdzekļus lauksaimniecības produktu pirmapstrādei, pārstrādei un iepakošanai, aktivitātē "Pārtikas īso piegāžu ķēžu darbības veicināšana" tiks piemērots Lauku atbalsta dienesta tehnikas un iekārtu katalogs, kurā apkopota informācija par tehnikas vienībām, ko atbalsta saņēmējs var iegādāties. Tā atbalsta pretendentam tiek dota priekšrocība ātrāk aizpildīt projekta pieteikumu un vieglāk izvēlēties atbilstošu tehniku, izvērtējot tās jaudu un izcenojumu.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Izveidotajai sadarbības grupai jānosaka reģions, kurā tā darbosies, jo produkts ražojams, pārstrādājams un pārdodams pēc iespējas tuvāk galapatērētājam. Produktu nevarēs realizēt vairumtirgotājam, un tas ļaus izvairīties no tā, ka ir vairāk nekā viens starpnieks.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atbalsta saņēmējam ir jāizveido īsā piegādes ķēde, nodrošinot sadarbības grupā iesaistīto partneru saražoto produktu uzglabāšanu un kopīgu realizāciju vismaz vienā mazumtirdzniecības vietā, vai jābūt noslēgtam ilgtermiņa līgumam par produkcijas piegādi, piemēram, lauksaimniecības produktu piegādi ēdināšanas nodrošināšanai izglītības, sociālās aprūpes vai ārstniecības iestādē.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Alternatīva tirdzniecības vietai varētu būt pārvietojamais mazumtirdzniecības punkts (autoveikals), vieta paviljonā un (vai) tirgū, kur notiek mazumtirdzniecība, tirdzniecība produktu ražošanas vietā (saimniecībā), tirdzniecība saskaņā ar ilgtermiņa pārdošanas līgumiem. Papildus var attīstīt citus tirdzniecības veidus un periodiskas vai pagaidu tirdzniecības vietas, piemēram, tirdzniecību īslaicīgos pasākumos un tirdzniecības automātos bez pārdevēja.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Aktivitātē "Pārtikas īso piegāžu ķēžu darbības veicināšana" tiešie labuma guvēji projekta īstenošanā ir primārie lauksaimniecības produktu ražotāji – lauksaimnieki vai to izveidotās lauksaimniecības pakalpojumu kooperatīvās sabiedrības. Projektā tiks atbalstītas investīcijas Līguma par Eiropas Savienības darbību I pielikumā minēto lauksaimniecības produktu noieta veicināšanai (uzglabāšanas infrastruktūra, loģistika, atpazīstamības veidošana), un saskaņā ar regulas 2021/2115 145. pantu uz sniegto atbalstu aktivitātē "Pārtikas īso piegāžu ķēžu darbības veicināšana" neattiecas komercdarbības atbalsta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Aktivitātē "Pārtikas īso piegāžu ķēžu darbības veicināšana" sadarbības grupas dalībnieki nodrošina produktu izsekojamību no to audzēšanas vietas, izmantojot saimniecības pārvaldības sistēmu, piemēram, lauku saimniecību elektroniskajā pārvaldības sistēmā "Mans Lauks", produktu izsekojamībai.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Aktivitātē "Produktu virzība tirgū" tiks atbalstīta sadarbība starp maziem ekonomikas dalībniekiem lauku teritorijā, kas darbojas lauksaimniecības, lauksaimniecības produktu pārstrādes, kā arī lauku tūrisma nozarēs, veicinot vietējo produktu piedāvājumu virzību tirgū un atpazīstamību.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Maziem ekonomikas dalībniekiem, darbojoties atsevišķi, īpaši lauku tūrisma nozarē, ir sarežģīti nodrošināt tādus lauku tūrisma pakalpojumus, kas rosinātu ceļotāju un tūristu interesi par pakalpojumu. Sniegtais atbalsts palielinās mazo ekonomikas dalībnieku dzīvotspēju, attīstību un konkurētspēju. Latvijas tirgus un vietējo iedzīvotāju pirktspēja ir ierobežota, tāpēc svarīga arī lauku tūrisma (īpaši kulinārā tūrisma) pakalpojumu sniedzēju iesaiste un sadarbība, lai nodrošinātu vietējo produktu pieejamību tūristiem un citiem ceļotājiem.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Aktivitātē atbalsts pieejams arī Eiropas Savienības vai dalībvalsts atzītas pārtikas kvalitātes shēmu produktu veicināšanai un atpazīstamībai.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Aktivitāte "Produktu virzība tirgū" tiks ieviesta ar vienkāršoto izmaksu, t. i., fiksētas summas maksājums ar budžeta projekta aprēķina metodi, atbilstoši regulas 2021/2115 83. panta 1. punkta "c" apakšpunktā un 2. punkta "b" apakšpunktā noteiktajam un saskaņā ar Zemkopības ministrijas sagatavotu metodiku fiksētās summas maksājuma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aktivitātē piešķir saskaņā ar Komisijas 2022. gada 14. decembra Regulas (ES) 2022/2472, ar kuru, piemērojot Līguma par Eiropas Savienības darbību 107. un 108. pantu, dažu kategoriju atbalstu lauksaimniecības un mežsaimniecības nozarē un lauku apvidos atzīst par saderīgu ar iekšējo tirgu.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publicē informāciju savā tīmekļvietnē par piešķirto atbalstu aktivitātē "Produktu virzība tirgū" sešu mēnešu laikā no atbalsta piešķiršanas dienas saskaņā ar regulas 2022/2472  9. panta 1. punkta "c" apakšpunktā un 3.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Intervencē atbalstu saņems sadarbības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aktivitātē "Pārtikas īso piegāžu ķēžu darbības veicināšana" piedalīsies lauksaimnieki, lauksaimniecības produktu pārstrādātāji, kooperatīvās sabiedrības, konsultanti, vietējās rīcības grupas vai citas ieinteresētās personas (piemēram, pašvaldības vai biedrības un nodibinājumi).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grupā vismaz pieciem sadarbības partneriem ir jābūt lauksaimniekiem, kuru neto apgrozījums ir vismaz 4000 </w:t>
      </w:r>
      <w:r w:rsidR="00000000" w:rsidRPr="00000000" w:rsidDel="00000000">
        <w:rPr>
          <w:i w:val="1"/>
          <w:rtl w:val="0"/>
        </w:rPr>
        <w:t xml:space="preserve">euro</w:t>
      </w:r>
      <w:r w:rsidR="00000000" w:rsidRPr="00000000" w:rsidDel="00000000">
        <w:rPr>
          <w:rtl w:val="0"/>
        </w:rPr>
        <w:t xml:space="preserve">, vai kooperatīvajām sabiedrībām. Sadarbības grupā var piedalīties arī lauksaimnieki ar mazāku neto apgrozījumu nekā 4000 </w:t>
      </w:r>
      <w:r w:rsidR="00000000" w:rsidRPr="00000000" w:rsidDel="00000000">
        <w:rPr>
          <w:i w:val="1"/>
          <w:rtl w:val="0"/>
        </w:rPr>
        <w:t xml:space="preserve">euro</w:t>
      </w:r>
      <w:r w:rsidR="00000000" w:rsidRPr="00000000" w:rsidDel="00000000">
        <w:rPr>
          <w:rtl w:val="0"/>
        </w:rPr>
        <w:t xml:space="preserve">, bet uz tiem netiek attiecināts obligātais nosacījums par pieciem dalībniekiem, kas ir lauksaimnieki vai kooperatīvās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aktivitātē "Produktu virzība tirgū" piedalīsies lauksaimnieki, kuru neto apgrozījums ir vismaz 4000 </w:t>
      </w:r>
      <w:r w:rsidR="00000000" w:rsidRPr="00000000" w:rsidDel="00000000">
        <w:rPr>
          <w:i w:val="1"/>
          <w:rtl w:val="0"/>
        </w:rPr>
        <w:t xml:space="preserve">euro</w:t>
      </w:r>
      <w:r w:rsidR="00000000" w:rsidRPr="00000000" w:rsidDel="00000000">
        <w:rPr>
          <w:rtl w:val="0"/>
        </w:rPr>
        <w:t xml:space="preserve">, lauksaimniecības produktu pārstrādātāji, kooperatīvās sabiedrības, lauku tūrisma pakalpojuma sniedzēji, konsultanti, vietējās rīcības grupas vai citas ieinteresētās personas (piemēram, pašvaldības vai biedrības un nodibinājumi). Sadarbības grupa sastāv no vismaz pieciem sadarbības partneriem. Sadarbības grupā var piedalīties arī lauksaimnieki ar mazāku neto apgrozījumu nekā 4000 </w:t>
      </w:r>
      <w:r w:rsidR="00000000" w:rsidRPr="00000000" w:rsidDel="00000000">
        <w:rPr>
          <w:i w:val="1"/>
          <w:rtl w:val="0"/>
        </w:rPr>
        <w:t xml:space="preserve">euro</w:t>
      </w:r>
      <w:r w:rsidR="00000000" w:rsidRPr="00000000" w:rsidDel="00000000">
        <w:rPr>
          <w:rtl w:val="0"/>
        </w:rPr>
        <w:t xml:space="preserve">, bet uz tiem netiek attiecināts obligātais nosacījums par pieciem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Intervences finansējums sadalīts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vienai sadarbības grupai aktivitātē "Pārtikas īso piegāžu ķēžu darbības veicināšana" kopējā attiecināmo izmaksu summa nepārsniedz 500 000 </w:t>
      </w:r>
      <w:r w:rsidR="00000000" w:rsidRPr="00000000" w:rsidDel="00000000">
        <w:rPr>
          <w:i w:val="1"/>
          <w:rtl w:val="0"/>
        </w:rPr>
        <w:t xml:space="preserve">euro</w:t>
      </w:r>
      <w:r w:rsidR="00000000" w:rsidRPr="00000000" w:rsidDel="00000000">
        <w:rPr>
          <w:rtl w:val="0"/>
        </w:rPr>
        <w:t xml:space="preserve">. Ja projektā nav paredzēta būvniecība vai pārbūve – tad 200 000 </w:t>
      </w:r>
      <w:r w:rsidR="00000000" w:rsidRPr="00000000" w:rsidDel="00000000">
        <w:rPr>
          <w:i w:val="1"/>
          <w:rtl w:val="0"/>
        </w:rPr>
        <w:t xml:space="preserve">euro. </w:t>
      </w:r>
      <w:r w:rsidR="00000000" w:rsidRPr="00000000" w:rsidDel="00000000">
        <w:rPr>
          <w:rtl w:val="0"/>
        </w:rPr>
        <w:t xml:space="preserve">Ja projektā ir paredzēta atpazīstamības veidošana, kopējā attiecināmo šādu izmaksu summa nepārsniedz 45 000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vienai sadarbības grupai aktivitātē "Produktu virzība tirgū" kopējā attiecināmo izmaksu summa nepārsniedz 100 000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intensitāte: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65 procenti no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80 procentu no attiecināmajām izmaksām atpazīstamības veidošanas pasākumiem ( 80 procentu atbalsta intensitāte piemērojama produktu atpazīstamības veidošanas izmaksām, tehnikas, iekārtu un to aprīkojuma nomas maksai, trešo personu sniegto ārējo pakalpojumu izmaksām, sadarbības partneru darba braucienu un komandējuma izmaksām, ja šīs izmaksas ir saistītas ar produktu atpazīstamības 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100 procentu personāla atlīdzības un netiešajām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iesnieguma sagatavošanas un vispārējām izmaksām tiek piemērota Zemkopības ministrijas apstiprināta vienotās likmes aprēķina metodika, un atbilstoši tai projektam, kura dažādām izmaksu pozīcijām tiek piemērota atšķirīga atbalsta intensitāte, projekta sagatavošanas un vispārējām izmaksām piemēro atbalsta intensitāti, kas ir attiecināta uz vairāk nekā 50 procentiem no projekta kopējām investīcijām.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netiešās izmaksas ir projekta attiecināmās izmaksas, kas nav tieši saistītas ar projekta rezultātu sasniegšanu, bet atbalsta un nodrošina atbilstošus apstākļus projekta veicamo darbību īstenošanai un projekta rezultātu sasniegšanai. Tās ietver tehnisko nodrošinājumu projekta koordinēšanai un īstenošanas uzraudzībai, piemēram, transporta izdevumus, telpu nomu un telpu apsaimniekošanu (arī koplietošanas telpu un koplietošanas resursu izmantošanas izmaksu proporcionālu segšanu), sakaru pakalpojumus, kancelejas preču un biroja piederumu iegādes izmaksas, biroja aprīkojuma īres vai iegādes izmaksas, grāmatvedības izmaksas, kā arī juridisko pakalpojumu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finansējumu nepiešķir par darbībām, kuras atbalsta pretendents ir sācis īstenot pirms projekta iesnieguma iesniegšanas Lauku atbalsta dienestā, izņemot izdevumiem, kas saistīti ar projekta iesnieguma sagatavošanu, un vispārējām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Intervencē neattiecināmās izmaksas ietver, piemēram, izmaksas primārās lauksaimniecības produkcijas ražošanai, mārketinga pasākumiem konkrēta ražotāja produktu atpazīstamības veidošanai, naudas sodus, līgumsodus, nokavējuma procentus, tiesas prāvu izmaksas vai izmaksas, kas saistītas ar sadarbības partnera ikdienas saimnieciskās darbības nodrošināšanu. Atbalstu šajā intervencē nepiešķir par tādām attiecināmām izmaksām, kas ir atbalstāmas regulas 2021/2115 citās intervencēs, piemēram, ieguldījumiem kooperatīvo sabiedrību konkurētspējas veicināšanai vai ražotāju grupu atbalstam.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šajā intervencē par vienām un tām pašām attiecināmajām izmaksām nevar pārklāties ar atbalstu no citiem līdzīgiem atbalsta pasākumiem. Demarkācija un potenciālais dubultā finansējuma risks tiks novērsts, saistībā ar projektiem Lauku atbalsta dienestam sadarbojoties ar Centrālo un finanšu līgumu aģentūru.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saņemšanas pamatnoteikumi ietverti Ministru kabineta 2023.gada 7. marta noteikumos "Valsts un Eiropas Savienības atbalsta piešķiršanas, administrēšanas un uzraudzības vispārējā kārtība lauku un zivsaimniecības attīstībai", tostarp kārtība, kādā Lauku atbalsta dienests nodrošina informācijas pieejamību, iesniegumu vērtēšanas noteikumi un kārtība kādā pieņem lēmumu par atbalsta piešķiršanu, ieskaitot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pieteiktos atbalsta saņemšanai, atbalsta pretendents Lauku atbalsta dienesta elektroniskajā pieteikšanās sistēmā iesniedz projekta iesniegumu, kurā norādīta informācija par sadarbības grupu (projektā iesaistīto sadarbības partneru juridiskais nosaukums, to pārstāvji un kontaktinformācija, kā arī sadarbības partnera loma – vadošais vai koordinators) un projektu (projekta mērķis un apraksts, projekta īstenošanas vieta un paredzēto turpmāko darbību apraksts pēc projekta īstenošanas), ar projektu saistītā finanšu informācija un cita informācija atbilstoši noteikumu projektam, kā arī pievieno sadarbības līguma kopiju.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sadarbības grupas partneriem noslēgtajā sadarbības līgumā paredz sadarbības partneru funkciju sadali projekta īstenošanā, pienākumus un atbildību, kā arī nosaka sadarbības grupas vadošo partneri un produktīvo investīciju īpašnieku. Papildus līgumā paredz plānoto kopējo finansējumu, sadarbības partnera projekta daļas finansējumu un sadarbības partnera ieguldījumu sadalījumā pa ieguldījumu veidiem (finansiālais, materiālais vai cilvēkresursu ieguldījums), partneri, kurš koordinē projektu, kā arī norēķinu kārtību starp sadarbības partneriem un saistības, kas izriet no projekta īstenošanas, kā arī citu informāciju atbilstoši noteikumu projektam.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izvēles iespējas sadarbības partneriem izlemt, kā dalīties projekta riskā, piemēram, sadarbības partneri var noteikt katram savas attiecināmās izmaksas un ieguldījumus, un, pamatojoties uz tiem, proporcionāli tiek noteikts, kā starp partneriem tiek sadalīts projekta riska apmērs.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Iesniegtie projektu iesniegumi, Lauku atbalsta dienestam tos izvērtējot, sākotnēji tiks sarindoti atbilstoši projektu atlases kritēriju punktiem, kas tiks izskatīti un apstiprināti KLP stratēģiskā plāna 2023.–2027. gadam Uzraudzības komitejā atbilstoši Ministru kabineta 2023.gada 7. marta noteikumu "Valsts un Eiropas Savienības atbalsta piešķiršanas, administrēšanas un uzraudzības vispārējā kārtība lauku un zivsaimniecības attīstībai" 14. punktā noteiktajam. Prioritāte saņemt atbalstu būs sadarbības grupai, kurai ir lielāks sadarbības dalībnieku skaits un partneru daudzveidība un kurā piedalās uzņēmēji, kas projekta iesniegšanas brīdī ir iesaistījušies zaļo publisko iepirkumu (ZPI) pārtikas piegādē, projektiem, kuros plānots piegādāt atbilstoši kvalitātes sistēmām audzētu, ražotu un (vai) pārstrādātu produkciju, projektiem, kurus koordinē vietējā rīcības grupa (nodrošinot vietējo rīcības grupu funkciju nodalīšanu) un kuros ir lielāks labumu guvēju loks.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grupa nosaka sava projekta ilgumu, vienlaikus ievērojot, ka projekts nevar būt īsāks par diviem gadiem un projekta īstenošana nevar būt ilgāka par pieciem gadiem, kā arī projekta īstenošanas termiņš ir ne ilgāks kā līdz 2029. gada 30. jūnijam, lai ievērotu Eiropas Lauksaimniecības fonda lauku attīstībai finansējuma attiecināmības perioda beigas.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varēs ieviest pa posmiem, no kuriem viens ilgst vismaz sešus mēnešus un nevar būt garāks par vienu gadu, nosakot katrā posmā īstenojamos darbus un sasniedzamos rezultātus.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Starpposma maksājumu par projekta posmu īstenošanu var saņemt ne biežāk kā vienu reizi pusgadā. Lai saņemtu starpposma maksājumu, vadošais partneris iesniedz Lauku atbalsta dienestā maksājuma pieprasījumu kopā ar izdevumus apliecinošiem dokumentiem, izņemot aktivitātei "Produktu virzība tirgū", un pārskatu par projekta posmā īstenotajām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Priekšapmaksa nepārsniedz 10 procentu no kopējās attiecināmo izmaksu summas vai 50 procentu no attiecināmo izmaksu summas konkrētajam posmam.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uzraudzība paredzēta aktivitātē "Pārtikas īso piegāžu ķēžu darbības veicināšana", un uzraudzības periods ir trīs gadi pēc pēdējā maksājuma saņemšanas attiecībā uz projekta laikā iegūtajiem pamatlīdzekļiem vai ar būvniecību saistītiem ieguldījumiem. Uzraudzības periodā turpinās projekta laikā uzsāktā kopīgā sadarbība un sasniegto rezultātu īstenošana. Uzraudzība aktivitātē "Produktu virzība tirgū" nav paredzēta, jo atbalsts tiks piešķirts kā fiksētas summas maksājums, kas noteikts ar budžeta projektu, un tiks vērtēts, vai rezultāts ir izpildīts.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Intervencē sniegtais atbalsts sekmēs vietējās produkcijas pieejamību iedzīvotājiem, lokalizējot lauksaimniecības un pārtikas produktus un sasaistot tos ar izcelsmes vietu. Ar intervences īstenošanu tiks veicināts vietējās produkcijas patēriņš.</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tiesiskais regulējums attieksies uz atbalsta pretendentiem, kas ir sadarbības grupa.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grupa apvieno vismaz piecus dažādus un neatkarīgus sadarbības partnerus – lauksaimniekus, lauksaimniecības produktu pārstrādātājus, kooperatīvās sabiedrības, vietējās rīcības grupas, lauku tūrisma pakalpojuma sniedzējus, konsultantus vai citas ieinteresētās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2023.–2027. gada plānošanas periodā indikatīvi plānotas 95 sadarbības grupas.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tiešā veidā ietekmēs mikrouzņēmumus, kā arī mazos un vidējos uzņēmumus, jo dod iespēju realizēt to produkciju.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lauksaimniecības uzņēmumu izaugsmi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3 570 000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3 570 000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3 570 000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3 570 000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3 570 000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3 570 000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Ministru kabinetā 2022. gada 18. janvārī apstiprināto informatīvo ziņojumu (prot. Nr. 3 34.§) "Par Latvijas Kopējās lauksaimniecības politikas stratēģisko plānu 2023.–2027. gadam" pasākumam "Teritorijas attīstības vecināšana ar </w:t>
            </w:r>
            <w:r w:rsidR="00000000" w:rsidRPr="00000000" w:rsidDel="00000000">
              <w:rPr>
                <w:sz w:val="24"/>
                <w:i w:val="1"/>
                <w:rtl w:val="0"/>
              </w:rPr>
              <w:t xml:space="preserve">LEADER </w:t>
            </w:r>
            <w:r w:rsidR="00000000" w:rsidRPr="00000000" w:rsidDel="00000000">
              <w:rPr>
                <w:sz w:val="24"/>
                <w:rtl w:val="0"/>
              </w:rPr>
              <w:t xml:space="preserve">pieeju" ir apstiprināts finansējums 72 300 000 </w:t>
            </w:r>
            <w:r w:rsidR="00000000" w:rsidRPr="00000000" w:rsidDel="00000000">
              <w:rPr>
                <w:sz w:val="24"/>
                <w:i w:val="1"/>
                <w:rtl w:val="0"/>
              </w:rPr>
              <w:t xml:space="preserve">euro</w:t>
            </w:r>
            <w:r w:rsidR="00000000" w:rsidRPr="00000000" w:rsidDel="00000000">
              <w:rPr>
                <w:sz w:val="24"/>
                <w:rtl w:val="0"/>
              </w:rPr>
              <w:t xml:space="preserve">,</w:t>
            </w:r>
            <w:r w:rsidR="00000000" w:rsidRPr="00000000" w:rsidDel="00000000">
              <w:rPr>
                <w:sz w:val="24"/>
                <w:i w:val="1"/>
                <w:rtl w:val="0"/>
              </w:rPr>
              <w:t xml:space="preserve"> </w:t>
            </w:r>
            <w:r w:rsidR="00000000" w:rsidRPr="00000000" w:rsidDel="00000000">
              <w:rPr>
                <w:sz w:val="24"/>
                <w:rtl w:val="0"/>
              </w:rPr>
              <w:t xml:space="preserve">no kura 61 455 000 euro (85 %) ir ES līdzfinansējums un 10 845 000 </w:t>
            </w:r>
            <w:r w:rsidR="00000000" w:rsidRPr="00000000" w:rsidDel="00000000">
              <w:rPr>
                <w:sz w:val="24"/>
                <w:i w:val="1"/>
                <w:rtl w:val="0"/>
              </w:rPr>
              <w:t xml:space="preserve">euro </w:t>
            </w:r>
            <w:r w:rsidR="00000000" w:rsidRPr="00000000" w:rsidDel="00000000">
              <w:rPr>
                <w:sz w:val="24"/>
                <w:rtl w:val="0"/>
              </w:rPr>
              <w:t xml:space="preserve">(15 %) – valsts līdzfinansējums, un tas ietver arī atbalstu Kopējās lauksaimniecības politikas stratēģiskā plāna 2023.–2027. gadam (KLP SP) intervencei "Sadarbība pārtikas īso piegāžu ķēžu darbības veicināšanai un piedāvājuma nodrošināšanai", kas tika sagatavota KLP SP saskaņošanas laikā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Latvijas Kopējās lauksaimniecības politikas stratēģisko plānu 2023.–2027. gadam intervencei "Sadarbība pārtikas īso piegāžu ķēžu darbības veicināšanai un piedāvājuma nodrošināšanai" publiskais finansējums apstiprināts 16 000 000 </w:t>
            </w:r>
            <w:r w:rsidR="00000000" w:rsidRPr="00000000" w:rsidDel="00000000">
              <w:rPr>
                <w:sz w:val="24"/>
                <w:i w:val="1"/>
                <w:rtl w:val="0"/>
              </w:rPr>
              <w:t xml:space="preserve">euro </w:t>
            </w:r>
            <w:r w:rsidR="00000000" w:rsidRPr="00000000" w:rsidDel="00000000">
              <w:rPr>
                <w:sz w:val="24"/>
                <w:rtl w:val="0"/>
              </w:rPr>
              <w:t xml:space="preserve">apmērā, no kura 13 600 000 </w:t>
            </w:r>
            <w:r w:rsidR="00000000" w:rsidRPr="00000000" w:rsidDel="00000000">
              <w:rPr>
                <w:sz w:val="24"/>
                <w:i w:val="1"/>
                <w:rtl w:val="0"/>
              </w:rPr>
              <w:t xml:space="preserve">euro </w:t>
            </w:r>
            <w:r w:rsidR="00000000" w:rsidRPr="00000000" w:rsidDel="00000000">
              <w:rPr>
                <w:sz w:val="24"/>
                <w:rtl w:val="0"/>
              </w:rPr>
              <w:t xml:space="preserve">(85 %) ir ES līdzfinansējums un 2 400 000 </w:t>
            </w:r>
            <w:r w:rsidR="00000000" w:rsidRPr="00000000" w:rsidDel="00000000">
              <w:rPr>
                <w:sz w:val="24"/>
                <w:i w:val="1"/>
                <w:rtl w:val="0"/>
              </w:rPr>
              <w:t xml:space="preserve">euro </w:t>
            </w:r>
            <w:r w:rsidR="00000000" w:rsidRPr="00000000" w:rsidDel="00000000">
              <w:rPr>
                <w:sz w:val="24"/>
                <w:rtl w:val="0"/>
              </w:rPr>
              <w:t xml:space="preserve">(15 %) – valsts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Publiskā finansējuma sadalījums pa gadiem ir šāds: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 4 200 000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 4 200 000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 4 200 000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 2 200 000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gadā – 1 200 000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Sadalījums pa gadiem norādīts indikatīvi un var mainīties atbilstoši nepieciešamībai.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finansējumu pasākuma īstenošanai Zemkopības ministrija pieprasīs normatīvajos aktos noteiktajā kārtībā no 74. resora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atbalstu intervences īstenošanai izmaksās no budžeta apakšprogrammas 65.10.00. "Maksājumu iestādes izdevumi Eiropas Lauksaimniecības fonda lauku attīstībai (ELFLA) projektu un pasākumu īstenošanai (2023–2027)".</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2021/1060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2021/2115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32022R2472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14. decembra Regula (ES) 2022/2472, ar kuru, piemērojot Līguma par Eiropas Savienības darbību 107. un 108. pantu, dažu kategoriju atbalstu lauksaimniecības un mežsaimniecības nozarē un lauku apvidos atzīst par saderīgu ar iekšējo tirgu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2022/2472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32007R0715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2007. gada 20. jūnija Regula (EK) Nr. 715/2007 par tipa apstiprinājumu mehāniskiem transportlīdzekļiem attiecībā uz emisijām no vieglajiem pasažieru un komerciālajiem transportlīdzekļiem (Euro 5 un Euro 6) un par piekļuvi transportlīdzekļa remonta un tehniskās apkopes informācijai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715/2007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2021/1060 54. panta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17.2. un 27.2.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2021/1060 55.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17.1.7. un 27.1.8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tiek ieviesta regulas 2021/1060 54. pantā paredzētā rīcības brīvība un netiešās attiecināmās izmaksas noteiktas vienotas likmes veidā – septiņi procenti no tiešām attiecināmajām izmaksām, pamatojoties uz noteikumu projekta sagatavošanas laikā izdarītu izvērtējumu, kā arī apspriežu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tiek ieviesta regulas 2021/1060 55. panta 1. punktā paredzētā rīcības brīvība, piemērojot izmaksu vienoto likmi 10 procentu apmērā projekta īstenošanas un vadības personāla atlīdzības izmaksām. Likme tika noteikta, pamatojoties uz noteikumu projekta sagatavošanas laikā izdarītu izvērtējumu, kā arī apspriežu rezultātiem.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2021/2115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3.un 38.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73.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37.11.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77. panta 1. punkta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83.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83. panta 1.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17.1.8. un 27.1.9.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83. panta 2.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2021/2115 paredz visus iespējamos pasākumus, kurus var atbalstīt ar Eiropas lauksaimniecības fondu lauku attīstībai starpniecību. Dalībvalstis atbilstoši regulas 2021/2115 104. pantam atkarībā no to ekonomiskās un sociālās situācijas izvēlas konkrētus pasākumus un, pastāv rīcības brīvība regulas ieviešanā, atkarībā no situācijas dalībvalstī attiecīgos nosacījumus ietverot KLP SP, kas saskaņojams ar Eiropas Komisiju. Latvija kā Eiropas Savienības dalībvalsts jau ir izmantojusi minēto rīcības brīvību KLP SP sagatavošanā atbilstoši 104. pantam, un ar 2023. gada 1. janvāri sākās tā ieviešana.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77. panta 1. punktā minētā rīcības brīvība atbalstīt citus sadarbības veidus izmantota, lai sniegtu atbalstu intervencē "Sadarbība pārtikas īso piegāžu ķēžu darbības veicināšanai un piedāvājuma nodrošināšanai", kurā atbalstu saņem sadarbības grupas.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73. panta rīcības brīvība izmantota, lai noteiktu neattiecināmās izmaksas attiecībā uz Eiropas lauksaimniecības fondu lauku attīstībai investīciju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83. panta 1. punktā noteiktā rīcības brīvība izmantota atbalsta sniegšanai projekta iesnieguma sagatavošanas izmaksu un vispārējo izmaksu segšanai vienotas likmes finansējuma veidā, un vienotas likmes finansējums sagatavošanas un vispārējām izmaksām noteikts saskaņā ar 83. panta 2. punkta "c" apakšpunktu, ievērojot to, ka šīs vienkāršotās izmaksas piemērotas 2014.–2020. gada programmēšanas periodā. Rīcības brīvība piemērot vienotas likmes finansējumu izmantota, lai vienkāršotu projektu faktisko izmaksu uzskaiti, kā arī samazinātu atbalsta pretendenta un Lauku atbalsta dienesta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83. panta 1. punktā un 2. punktā paredzētā rīcības brīvība izmantota atbalsta piešķiršanai aktivitātē "Produktu virzība tirgū", paredzot atbalsta saņemšanu kā fiksētas summas maksājumu, kas noteikts ar budžeta projekta aprēķina metodi. Konkrētā rīcības brīvība izmantota, lai vienkāršotu projektu faktisko izmaksu uzskaiti, pārejot no finanšu dokumentu pārbaudes uz sasniegto rezultātu pārbaudi un tā samazinot atbalsta saņēmējam administratīvo slogu, lai nodrošinātu projekta izmaksu uzskaiti un maksājuma pieprasījumu pamatojošās dokumentācijas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Citas regulā 2021/2115 paredzētās rīcības brīvības nav attiecināmas uz noteikumu projektu, līdz ar to tās netiek izmantotas.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14. decembra Regula (ES) 2022/2472, ar kuru, piemērojot Līguma par Eiropas Savienības darbību 107. un 108. pantu, dažu kategoriju atbalstu lauksaimniecības un mežsaimniecības nozarē un lauku apvidos atzīst par saderīgu ar iekšējo tirgu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2022/2472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28., 34. un 35.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1. panta 4.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32.5.1.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2. panta 59.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32.5.2.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28.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9.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9.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32.2. un 32.3.  apakšpunkts un 34.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55. panta 3.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55. panta 5.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59. panta 6. punkta "c" un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59. panta 12. punkta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64.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I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2.9. un 14.2.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2022/2472 paredz visus iespējamos pasākumus, kurus var atbalstīt ar Eiropas Lauksaimniecības fondu lauku attīstībai starpniecību. Dalībvalstis atkarībā no to ekonomiskās un sociālās situācijas izvēlas konkrētus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2022/2472 paredz rīcības brīvību piemērot atbalsta shēmu, kas atbilst konkrētam KLP SP pasākumam.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59. panta 6. punktā minētā rīcības brīvība izmantota, lai sniegtu atbalstu mazo ekonomikas dalībnieku sadarbības projektiem kopīgai produktu virzībai, noieta veicināšanai un attīstīšanai tirgū lauksaimniecības, lauksaimniecības produktu pārstrādes nozarēs, kā arī lauku tūrismā, piemērojot arī 12. punktā minētās atbilstošās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Citas regulā 2022/2472 paredzētās rīcības brīvības nav attiecināmas uz noteikumu projektu, līdz ar to tās netiek izmantotas.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2007. gada 20. jūnija Regula (EK) Nr. 715/2007 par tipa apstiprinājumu mehāniskiem transportlīdzekļiem attiecībā uz emisijām no vieglajiem pasažieru un komerciālajiem transportlīdzekļiem (Euro 5 un Euro 6) un par piekļuvi transportlīdzekļa remonta un tehniskās apkopes informācijai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715/2007 I pielikuma 1. tabula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 Latvijas Lauksaimniecības kooperatīvu asociācija, Latvijas Pārtikas uzņēmumu federācija, vietējās rīcības grupas, biedrības "Latvijas Piensaimnieku Centrālā Savienība", "Latvijas Jauno zemnieku klubs", "Latvijas Bioloģiskās lauksaimniecības asociācija", "Latvijas Zemnieku federācija" un "Lopkopības saimniecību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Lauku forums" (turpmāk – LLF), pārstāvot 32 vietējās rīcības grupas, atbalsta Zemkopības ministrijas sagatavoto noteikumu projektu, vienlaikus lūdzot šādu papildu informāciju un sniedzot ierosinājumus tālākajam procesam: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LLF vērš uzmanību diviem MK noteikumu punktiem, kas ietver specifiskus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apakšpunktā ir noteikts, ka sadarbības grupā vismaz pieci sadarbības partneri ir lauksaimnieki vai kooperatīvās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apakšpunkts noteic, ka lauksaimnieks ir juridiska vai fiziska persona, kas ražojusi lauksaimniecības produktus un guvusi ieņēmumus no lauksaimniecības produktu pārdošanas pēdējā noslēgtajā gadā vismaz 4000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LLF lūdz sniegt informāciju, lai uzzinātu izvēlēto nosacījumu pamatojumu. Lai novērstu situācijas, kad nepamatoti tiek izslēgti potenciālie sadarbības partneri,  LLF rosina ierobežojumus noteikt tālākajā, piemēram, kritēriju vai konkursu izsludināšanas, posmā, bet ne noteikt tos MK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veiksmīgas un stratēģiskas īstenošanas priekšnosacījums ir daudzveidīgu sektoru iesaiste, kas sākas jau ar projekta pieteikuma sagatavošanu, noskaidrojot viedokļus un lēmumu pieņemšanā ņemot vērā privātās un publiskās intereses. Projekta īstenotājiem jāspēj nodrošināt, ka īstenojamās iniciatīvas nepārstāv šaura loka intereses un ir vērstas uz to, lai iesaistītos pēc iespējas plašāka vietējo pārstāvju grupa. Šādas pieejas veiksmīgi īstenotāji vietējā mērogā ir vietējās rīcības grupas un viņu sadarbības partneri. LLF norāda, ka tieši vietējām rīcības grupām ir viss nepieciešamais potenciāls sasniegt izvirzītos mērķus, un lūdz arī turpmāk iesaistīt LLF, kas pārstāv 32 vietējās rīcības grupas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paskaidro: lai gan aktivitātē "Pārtikas īso piegāžu ķēžu darbības veicināšana" ir izvirzīts obligāts nosacījums, ka sadarbības grupā vismaz pieciem sadarbības partneriem ir jābūt lauksaimniekiem, kuru neto apgrozījums ir vismaz 4000 euro, vai kooperatīvajām sabiedrībām, tas neizslēdz iespēju piedalīties lauksaimniekiem ar mazāku neto apgrozījumu. Sadarbības grupā var iesaistīties arī lauksaimnieki ar mazāku neto apgrozījumu, bet uz tiem netiek attiecināts obligātais nosacījums par pieciem dalībniekiem, kas ir lauksaimnieki vai kooperatīvās sabiedrības. Piekrītam, ka viedokļu apzināšanai un daudzveidīgai sektoru iesaistei ir būtiska nozīme noteikumu projekta sagatavošanā un lēmumu pieņemšanā.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24-TA-1734</w:t>
    </w:r>
    <w:r>
      <w:br/>
    </w:r>
    <w:r w:rsidR="00000000" w:rsidRPr="00000000" w:rsidDel="00000000">
      <w:rPr>
        <w:rtl w:val="0"/>
      </w:rPr>
      <w:t xml:space="preserve">Izdrukāts 29.07.2026. 23.35 - 3.0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24-TA-1734</w:t>
    </w:r>
    <w:r>
      <w:br/>
    </w:r>
    <w:r w:rsidR="00000000" w:rsidRPr="00000000" w:rsidDel="00000000">
      <w:rPr>
        <w:rtl w:val="0"/>
      </w:rPr>
      <w:t xml:space="preserve">Izdrukāts 29.07.2026. 23.35 - 3.0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anotācija_(ex_ante)_24-TA-1734.docx</dc:title>
</cp:coreProperties>
</file>

<file path=docProps/custom.xml><?xml version="1.0" encoding="utf-8"?>
<Properties xmlns="http://schemas.openxmlformats.org/officeDocument/2006/custom-properties" xmlns:vt="http://schemas.openxmlformats.org/officeDocument/2006/docPropsVTypes"/>
</file>