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Eiropas Parlamenta vēlēšanu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informatīvo ziņojumu "Par vēlēšanu procesu nodrošināšanai nepieciešamo informācijas un komunikācijas tehnoloģiju, resursu apjomu un ilgtermiņa vīziju"" (23-TA-3158) (turpmāk - Ziņojums), kas saskaņā ar publisku pieejamo informāciju (https://tapportals.mk.gov.lv) tika pieņemts Ministru kabineta 2024. gada 30. janvāra sēdē.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mērķis ir nodalīt kompetenci starp Pilsonības un migrācijas lietu pārvaldi (turpmāk – PMLP) kā Vēlētāju reģistra pārzini un Valsts reģionālās attīstības aģentūru (turpmāk - VRAA), kura no 2024. gada 1. septembra būs Elektroniskā tiešsaistes vēlētāju reģistra (turpmāk - ETVR) pārzinis. Tāpat likumprojekts paredz precizēt esošo regulējumu atbilstoši faktiskajai situācijai.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01.09.2024.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Ziņojumā noteiktajam, sākot ar 2024. gada 1. septembri, VRAA būs ETVR pārzinis.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PMLP ir Vēlētāju reģistra pārzinis. Saskaņā ar Ministru kabineta 2020.gada 26.februāra rīkojumu Nr.76 tika atbalstīts konceptuālajā ziņojumā “Par eID karti kā derīgu personu apliecinošu dokumentu Saeimas vēlēšanās” (turpmāk – konceptuālais ziņojums) ietvertais pirmais risinājums. Atbalstītā risinājuma mērķis bija izveidot  Vēlētāju reģistra informācijas sistēmas moduli  ETVR, lai vēlētāji Saeimas vēlēšanās varētu balsot, izmantojot arī personas apliecību (eID karti). Lai veicinātu vienotu vēlēšanu procesu attīstību, konceptuālajā ziņojumā tika paredzēts, ka ETVR tiks izmantots ne tikai Saeimas vēlēšanās, bet arī Eiropas Parlamenta vēlēšanās un pašvaldības domes vēlēšanās. Ievērojot minēto, 2021.gada pašvaldības domes vēlēšanās un 14.Saeimas vēlēšanās sekmīgi tika izmantots ETVR un tiek plānots, ka tas tiks izmantots arī 2024. gada Eiropas Parlamenta vēlēšanās.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Ziņojumā noteikto, sākot ar 2024.gada 1.septembri ETVR kā atsevišķa informācijas sistēma tiks nodota VRAA pārziņā un VRAA būs atbildīga par ETVR izmantošanu vēlēšanās un pašvaldību referendumos. Līdz ar to, Eiropas Parlamenta vēlēšanu likumā ir nepieciešams precizēt Vēlētāju reģistra un ETVR darbības ietvaru.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vēlēšanu likumā ir izdarāmi grozījumi, lai paredzētu, ka ETVR tiks nodrošināta vēlētāja datu pārbaude par piedalīšanos Eiropas Parlamenta vēlēšanās un izdarīta atzīme par vēlētāja dalību tajās.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paredzēts grozīt Eiropas Parlamenta vēlēšanu likuma 23. panta otro daļu un 2.</w:t>
      </w:r>
      <w:r w:rsidR="00000000" w:rsidRPr="00000000" w:rsidDel="00000000">
        <w:rPr>
          <w:vertAlign w:val="superscript"/>
          <w:rtl w:val="0"/>
        </w:rPr>
        <w:t xml:space="preserve">1</w:t>
      </w:r>
      <w:r w:rsidR="00000000" w:rsidRPr="00000000" w:rsidDel="00000000">
        <w:rPr>
          <w:rtl w:val="0"/>
        </w:rPr>
        <w:t xml:space="preserve"> daļu, 28. panta sesto daļu, 30. panta sesto daļu, 33.</w:t>
      </w:r>
      <w:r w:rsidR="00000000" w:rsidRPr="00000000" w:rsidDel="00000000">
        <w:rPr>
          <w:vertAlign w:val="superscript"/>
          <w:rtl w:val="0"/>
        </w:rPr>
        <w:t xml:space="preserve">1</w:t>
      </w:r>
      <w:r w:rsidR="00000000" w:rsidRPr="00000000" w:rsidDel="00000000">
        <w:rPr>
          <w:rtl w:val="0"/>
        </w:rPr>
        <w:t xml:space="preserve"> panta pirmo un trešo daļu, 36.</w:t>
      </w:r>
      <w:r w:rsidR="00000000" w:rsidRPr="00000000" w:rsidDel="00000000">
        <w:rPr>
          <w:vertAlign w:val="superscript"/>
          <w:rtl w:val="0"/>
        </w:rPr>
        <w:t xml:space="preserve">1</w:t>
      </w:r>
      <w:r w:rsidR="00000000" w:rsidRPr="00000000" w:rsidDel="00000000">
        <w:rPr>
          <w:rtl w:val="0"/>
        </w:rPr>
        <w:t xml:space="preserve"> panta pirmās daļas 3. un 4. punktu, 36.</w:t>
      </w:r>
      <w:r w:rsidR="00000000" w:rsidRPr="00000000" w:rsidDel="00000000">
        <w:rPr>
          <w:vertAlign w:val="superscript"/>
          <w:rtl w:val="0"/>
        </w:rPr>
        <w:t xml:space="preserve">2</w:t>
      </w:r>
      <w:r w:rsidR="00000000" w:rsidRPr="00000000" w:rsidDel="00000000">
        <w:rPr>
          <w:rtl w:val="0"/>
        </w:rPr>
        <w:t xml:space="preserve"> panta pirmo daļu. Grozījumos paredzēts, ka turpmāk pārbaude, vai persona ir piedalījusies Eiropas Parlamenta vēlēšanās un atzīmes izdarīšana par vēlētāja dalību vēlēšanās būs izdarīta ETVR tiešsaistes režīmā.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vēlēšanu likuma 13. panta ceturtā daļa netiek grozīta, jo Centrālā vēlēšanu komisija, saņemot no citas Eiropas Savienības dalībvalsts informāciju, ka Latvijas Republikā reģistrēts vēlētājs pieteicies balsot citā Eiropas Savienības dalībvalstī, izdara par to atzīmi Vēlētāju reģistrā. Minētā atzīme saskaņā ar Vēlētāju reģistra likuma 15. panta pirmo un ceturto daļu tiek iekļauta vēlētāju sarakstā, kas pirms iepriekšējās balsošanas dienas tiek iekļauts ETVR.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vēlēšanu likumā paredzēts Eiropas Parlamenta vēlēšanu kandidātu datu atbilstības pārbaudi veikt, balstoties uz Vēlētāju reģistrā iekļauto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Kandidātu dati tiek pārbaudīti, vai persona sasniegusi 21 gadu vecumu, vai persona ir Latvijas pilsonis vai Eiropas Savienības pilsonis, kurš nav Latvijas pilsonis, vai kandidātam likumā paredzētajā kārtībā tiesa ir nodibinājusi aizgādnību. Tātad kandidātam tiek pārbaudīts dzimšanas datums vecuma noteikšanai, valstiskās piederības dati un aizgādnības nodibināšanu (rīcībspējas ierobežojuma dati). Minēto datu pirmavots ir Fizisko personu reģistrs, kurā saskaņā ar Fizisko personu reģistra likuma 11. panta pirmo daļu tiek iekļautas un aktualizētas ziņas par personas dzimšanas datumu, rīcībspēju un valstisko piederību.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 ar to, likumprojekta 1. un 2. pants paredz veikt grozījumus Eiropas Parlamenta vēlēšanu likumā atbilstoši faktiskajai situācijai, nosakot, ka kandidātu dati tiks pārbaudīti Fizisko personu reģistrā, kas ir pārbaudes datu pirmavots.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Grozījumi Saeimas vēlēšanu likumā (24-TA-497)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30"/>
          <w:b w:val="1"/>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ietekmē Saeimas vēlēšanu likumu, kur būs jānošķir PMLP pārziņā esošā Vēlētāju reģistra darbību no VRAA pārziņā esošā ETVR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Grozījumi Pašvaldības domes vēlēšanu likumā (24-TA-494)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30"/>
          <w:b w:val="1"/>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ietekmē Pašvaldības domes vēlēšanu likumu, kur būs jānošķir PMLP pārziņā esošā Vēlētāju reģistra darbību no VRAA pārziņā esošā ETVR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4.1.3. Grozījumi Vietējo pašvaldību referendumu likumā (24-TA-500)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30"/>
          <w:b w:val="1"/>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ietekmē Vietējo pašvaldību referendumu likumu, kur būs jānošķir PMLP pārziņā esošā Vēlētāju reģistra darbību no VRAA pārziņā esošā ETVR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4.1.4. Grozījumi Vēlētāju reģistra likumā (24-TA-482)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30"/>
          <w:b w:val="1"/>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ietekmē Vēlētāju reģistra likumu, kur būs jānošķir  PMLP pārziņā esošā Vēlētāju reģistra darbību no VRAA pārziņā esošā ETVR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4.1.5. Ministru kabineta 2016. gada 14. jūnija noteikumi Nr. 375 “Valsts reģionālās attīstības aģentūras nolikums”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30"/>
          <w:b w:val="1"/>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ietekmē VRAA kompetenci regulējošos normatīvos aktus, kur jāparedz, ka VRAA kompetencē turpmāk būs arī ar vēlēšanām saistīto funkciju izpilde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digitālās attīstības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Pilsonības un migrācijas lietu pārvalde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vēlēšanu komisija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24-TA-498</w:t>
    </w:r>
    <w:r>
      <w:br/>
    </w:r>
    <w:r w:rsidR="00000000" w:rsidRPr="00000000" w:rsidDel="00000000">
      <w:rPr>
        <w:rtl w:val="0"/>
      </w:rPr>
      <w:t xml:space="preserve">Izdrukāts 29.07.2026. 22.13 - 1.0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24-TA-498</w:t>
    </w:r>
    <w:r>
      <w:br/>
    </w:r>
    <w:r w:rsidR="00000000" w:rsidRPr="00000000" w:rsidDel="00000000">
      <w:rPr>
        <w:rtl w:val="0"/>
      </w:rPr>
      <w:t xml:space="preserve">Izdrukāts 29.07.2026. 22.13 - 1.0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anotācija_(ex_ante)_24-TA-498.docx</dc:title>
</cp:coreProperties>
</file>

<file path=docProps/custom.xml><?xml version="1.0" encoding="utf-8"?>
<Properties xmlns="http://schemas.openxmlformats.org/officeDocument/2006/custom-properties" xmlns:vt="http://schemas.openxmlformats.org/officeDocument/2006/docPropsVTypes"/>
</file>