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Atveseļošanas un noturības mehānisma plāna komponentes Nr.1 “Klimata pārmaiņas un vides ilgtspēja” reformu un investīciju virziena 1.1. “Emisiju samazināšana transporta sektorā” 1.1.1.r. reformas “Rīgas metropoles areāla transporta sistēmas zaļināšana” investīcijas 1.1.1.3.i. investīcijas “Pilnveidota veloceļu infrastruktūra” īstenošanas noteikumi” (turpmāk – Noteikumu projekts) ir izstrādāts, lai noteiktu Eiropas Savienības Atveseļošanas un noturības mehānisma 1.1.1.3.i. investīcijas “Pilnveidota veloceļu infrastruktūra” (turpmāk – Investīcija) īstenošanas nosacījumus un nodrošinātu Investīcijas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mērķis ir vienotas, nepārtrauktas maģistrālās veloceļu infrastruktūras izveide Rīgas metropoles areālā – Rīgas valstspilsētā un Pierīgā, lai nodrošinātu “zaļās” mobilitātes pieejamību starp apdzīvotām vietām un radītu priekšnosacījumus arī vietēja līmeņa un apkaimju savienojumu attīstībai, dot pienesumu vides un dzīves kvalitātes uzlabošanā reģiona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7. septembra noteikumu Nr.621 “Eiropas Savienības Atveseļošanas un noturības mehānisma plāna īstenošanas un uzraudzības kārtība” 2.2.apakšpunktu, kas noteic, ka nozares ministrija nodrošina Atveseļošanas fonda (turpmāk – AF) plāna ietvaros resorā plānotās investīcijas.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Investīcijas mērķa kvantitatīvā rādītāja sasniegšanu - līdz 2026.gada 31.maijam jaunizbūvētas vai atjaunotas veloinfrastruktūras  garums Rīgas valstspilsētā un Pierīgā ir vismaz 60 km.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2021.gada 28.aprīlī apstiprināja (prot. Nr.36, 27.§) AF plānu [1]. 2021.gada 13.jūlijā AF plāns apstiprināts arī Eiropas Komisijā un Eiropas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plānā, tostarp, paredzēts īstenot komponentes Nr.1 “Klimata pārmaiņas un vides ilgtspēja” reformu un investīciju virziena 1.1 “Emisiju samazināšana transporta sektorā” 1.1.1.r. reformu “Rīgas metropoles areāla transporta sistēmas zaļināšana”, kā arī tās ietvaros Investīciju (Pilnveidota veloceļu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Pašreizējā situācija un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AF plānā minētajam, galvenais siltumnīcas gāzu emisiju (turpmāk - SEG) avots Latvijas transportā ir autotransports - tā devums ir aptuveni 93,6% no SEG emisijām sektorā, kuras Rīgas metropoles areālā koncentrējas 1,25 milj. jeb aptuveni 65% Latvijas iedzīvotāju un tā teritorijā tiek radītas aptuveni 3/4 Latvijas ekonomisko vērtību. Ievērojama daļa iedzīvotāju no Rīgas apkārtējām teritorijām ik dienas dodas uz Rīgas pilsētu kā uz darba vai mācību vietu, proti, 31% līdz 45% Rīgas metropoles areāla pašvaldībās deklarēto iedzīvotāju darbspējas vecumā strādā Rīgas pilsētā. Rīgas pilsētā un Pierīgas pašvaldībās ir apmēram 50% no visiem Latvijā uz 2019.gada 1.janvāri reģistrētajiem vieglajiem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būtisku SEG emisiju samazinājumu transporta sektorā nepieciešami nozīmīgi ieguldījumi infrastruktūrā, kā arī reformas, kuras stimulētu pasažieru paradumu maiņu un pāreju uz videi draudzīgākiem transporta risinājumiem, tostarp velotransportu.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Veloceļu infrastruktūras attīstība Rīgā un Pierīgā ir nozīmīgs instruments motorizētās mobilitātes īpatsvara kopējā mobilitātē samazināšanā un mikromobilitātes attīstībā. Velotransporta satiksme ir viena no visstraujāk augošajām motorizēto transportlīdzekļu alternatīvām galvaspilsētā. Tomēr esošajā situācijā </w:t>
      </w:r>
      <w:r w:rsidR="00000000" w:rsidRPr="00000000" w:rsidDel="00000000">
        <w:rPr>
          <w:b w:val="1"/>
          <w:rtl w:val="0"/>
        </w:rPr>
        <w:t xml:space="preserve">trūkst vienota velotransporta satiksmes tīkla</w:t>
      </w:r>
      <w:r w:rsidR="00000000" w:rsidRPr="00000000" w:rsidDel="00000000">
        <w:rPr>
          <w:rtl w:val="0"/>
        </w:rPr>
        <w:t xml:space="preserve">, jo Rīgas metropoles areālā veloceļu infrastruktūra ir attīstīta fragmentāri. Līdz ar to ir </w:t>
      </w:r>
      <w:r w:rsidR="00000000" w:rsidRPr="00000000" w:rsidDel="00000000">
        <w:rPr>
          <w:b w:val="1"/>
          <w:rtl w:val="0"/>
        </w:rPr>
        <w:t xml:space="preserve">augsta nepieciešamība pēc vienotas, nepārtrauktas maģistrālās veloceļu infrastruktūras</w:t>
      </w:r>
      <w:r w:rsidR="00000000" w:rsidRPr="00000000" w:rsidDel="00000000">
        <w:rPr>
          <w:rtl w:val="0"/>
        </w:rPr>
        <w:t xml:space="preserve">, lai nodrošinātu "zaļās" mobilitātes pieejamību starp apdzīvotām vietām un radītu priekšnosacījumus arī vietēja līmeņa un apkaimju savienojumu attīstībai. Integrējot veloceļu infrastruktūru vienotā satiksmes sistēmā, iespējams ievērojami paaugstināt iedzīvotāju mobilitātes iespējas un dot pienesumu vides un dzīves kvalitātes uzlabošanā reģiona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transporta radīto SEG emisiju daudzumu Rīgā, ir nepieciešams radīt priekšnosacījumus transporta plūsmu pārstrukturēšanai Rīgas metropoles areālā, tajā skaitā Rīgā un Pierīgā, tādējādi mainot satiksmes dalībnieku paradumus. Proti, ir nepieciešams veicināt velotransportu, attīstot maģistrālo veloceļu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AF plānam, lai risinātu augstāk minēto problēmu, Investīcijas ietvaros paredzēts izveidot Rīgas metropoles areālā – Rīgas pilsētā un Pierīgā, vienotu, nepārtrauktu maģistrālo veloceļu infrastruktūru, nodrošināt “zaļās” mobilitātes pieejamību starp apdzīvotām vietām un radot priekšnosacījumus arī vietēja līmeņa un apkaimju savienojumu attīstībai, dodot pienesumu vides un dzīves kvalitātes uzlabošanā reģiona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tiks veiktas reģionāla un pilsētas līmeņa maģistrālajā veloceļu infrastruktūrā vairākos prioritārajos veloceļu koridoros (maršrutos), sasaistot Rīgas apkaimes un Pierīgas apdzīvotības centrus. Kopumā Rīgā un Pierīgā veloceļu infrastruktūru ir plānots attīstīt šādos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 Carnikava;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 Ulbroka;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 Ķekava;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 Babīte - Piņķi;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 Mārupe.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maršruta ietvaros tiek nodrošināta sasaiste starp pilsētas un reģionālas nozīmes veloceļu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Kvantitatīvais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redakcijā noteikts, ka Investīcijas mērķa sasniedzamais kvantitatīvais rādītājs - līdz 2026.gada 31.maijam jaunizbūvētas vai atjaunotas veloinfrastruktūras garums Rīgas pilsētā un Pierīgā ir vismaz 60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kvantitatīvo rādītāju paredzēts sasniegt, katrā projektā sasniedzot kvantitatīvo rādītāju šādos prioritāros koridoros: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 - Carnikava, tai skaitā Ādažu novadā - vismaz 11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 - Ulbroka,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pilsētā – vismaz 3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novadā – vismaz 9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 - Ķekava,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pilsētā – vismaz 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novadā – vismaz 16,5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Rīga - Babīte - Piņķi,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pilsētā – vismaz 6,5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novadā – vismaz 4,5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 - Mārupe, tai skaitā Mārupes novadā – vismaz 4,5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2022.gada 14.jūlijā Ministru kabinetā izskatīto informatīvu ziņojumu "Par Latvijas Atveseļošanas un noturības mehānisma plāna grozījumiem" (22-TA-1991) un šīs sēdes protokollēmumu (prot.Nr.36, 113.§), Satiksmes ministrija 2022.gada 4.augustā iesniedza Finanšu ministrijā priekšlikumus AF plāna grozījumiem iesniegšanai Eiropas Komisijā. Tai skaitā, tika iesniegti priekšlikumi Investīcijas (1.1.1.3.i.) kvantitatīvā rādītāja grozījumiem (turpmāk – Grozījumi), jo karadarbības Ukrainā un pret Krieviju un Baltkrieviju ieviesto sankciju rezultātā pieaugušās izmaksas būvniecības jomā. Kā rezultātā par pieejamo AF finansējumu iespējama mazāka veloceļu infrastruktūras izbūve un atjaunošana. Līdz ar to iesniegtie priekšlikumi Investīcijas (1.1.1.3.i.) kvantitatīvā rādītāja grozījumiem paredz samazināt jaunizbūvētas vai atjaunotas veloinfrastruktūras garumu Rīgas pilsētā un Pierīgā no vismaz 60 km uz vismaz 52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panākot vienošanos ar Eiropas Komisiju par ierosinātajiem Grozījumiem, plānots veikt arī grozījumus Noteikumu projekta redakcijā, nosakot, ka Investīcijas mērķa sasniedzamais kvantitatīvais rādītājs - līdz 2026.gada 31.maijam jaunizbūvētas vai atjaunotas veloinfrastruktūras garums Rīgas pilsētā un Pierīgā ir vismaz 52 km. Līdz ar to Noteikumu projektā tiks veikti arī atbilstoši grozījumi, paredzot, ka Investīcijas mērķa kvantitatīvais rādītājs tiks sasniegts, katrā projektā sasniedzot kvantitatīvo rādītāju šādos prioritāros koridoros: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 - Carnikava, tai skaitā Ādažu novadā - vismaz 11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 - Ulbroka,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pilsētā – vismaz 3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novadā – vismaz 9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 - Ķekava,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pilsētā – vismaz 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novadā – vismaz 8,5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Rīga - Babīte - Piņķi,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pilsētā – vismaz 6,5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novadā – vismaz 4,5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 - Mārupe, tai skaitā Mārupes novadā – vismaz 4,5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kvantitatīvā rādītāja sasniegšanu tiek attiecināta Investīcijas projektu ietvaros no jauna izbūvēta, pārbūvēta, pilnveidota un atjaunota veloceļu infrastruktūra, kā arī esošo ielu, ceļu/ gājēju ceļu pielāgošana velotransportam. Terminu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Izbūve</w:t>
      </w:r>
      <w:r w:rsidR="00000000" w:rsidRPr="00000000" w:rsidDel="00000000">
        <w:rPr>
          <w:rtl w:val="0"/>
        </w:rPr>
        <w:t xml:space="preserve"> atbilst būvdarbu terminam saskaņā ar Būvniecības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 - būvniecības procesa sastāvdaļa, darbi, kurus veic būvlaukumā vai būvē, lai radītu būvi, [..], pārbūvētu, atjaunotu, restaurētu, iekonservētu, nojauktu būvi vai ierīkotu inženiertīklu.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Pārbūve</w:t>
      </w:r>
      <w:r w:rsidR="00000000" w:rsidRPr="00000000" w:rsidDel="00000000">
        <w:rPr>
          <w:rtl w:val="0"/>
        </w:rPr>
        <w:t xml:space="preserve"> atbilst būves pārbūves terminam saskaņā ar Būvniecības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pārbūve — būvdarbi, kuru rezultātā ir mainīts būves vai tās daļas apjoms vai pastiprināti nesošie elementi vai konstrukcijas, mainot vai nemainot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Atjaunošana</w:t>
      </w:r>
      <w:r w:rsidR="00000000" w:rsidRPr="00000000" w:rsidDel="00000000">
        <w:rPr>
          <w:rtl w:val="0"/>
        </w:rPr>
        <w:t xml:space="preserve"> atbilst būves atjaunošanas terminam saskaņā ar Būvniecības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atjaunošana — būvdarbi, kuru rezultātā ir nomainīti nolietojušies būves nesošie elementi vai konstrukcijas vai veikti funkcionāli vai tehniski uzlabojumi, nemainot būves apjomu vai nesošo elementu nestspēju.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Pilnveide</w:t>
      </w:r>
      <w:r w:rsidR="00000000" w:rsidRPr="00000000" w:rsidDel="00000000">
        <w:rPr>
          <w:rtl w:val="0"/>
        </w:rPr>
        <w:t xml:space="preserve"> ir esošās veloceļu infrastruktūras pilnveidošana, lai nodrošinātu pilnvērtīgu veloceļa funkcionalitāti, kā arī drošības uzlabošanu velotransporta lietotājiem. Piemēram, luksoforu, apgaismojuma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Pielāgošana</w:t>
      </w:r>
      <w:r w:rsidR="00000000" w:rsidRPr="00000000" w:rsidDel="00000000">
        <w:rPr>
          <w:rtl w:val="0"/>
        </w:rPr>
        <w:t xml:space="preserve"> ir esošo ielu, ceļu/ gājēju ceļu (ietvju) pielāgošana velotransporta izmantošanai. Piemēram, velojoslas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16.februārī Darbības kārtības, par kuru vienojas Eiropas Komisija un Latvija, 1.pielikumā kā pārbaudes mehānisms par 1.1.1.3.i. investīcijas kvantitatīvā mērķa sasniegšanu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pamatots, kā tika apmierinoši sasniegts mērķis (tostarp visi būtiskie elementi), kopā ar atbilstošām saitēm uz pamatojošajiem pierādījumiem. Šā dokumenta pielikumā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sarakstu, kurā norādīti visi projekti, norādot garumu kilometros un veidu (pārbūve vai jauna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apliecinājumu par jaunizbūvētās vai pārbūvētās veloinfrastruktūras nodošanu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kas apliecina projektā paredzētā kvantitatīvā rādītāja sasniegšanu ir akts par būves vai tās daļas pieņemšanu ekspluatācijā, ko izsniegusi institūcija, kura pilda būvvaldes funkcijas saskaņā ar normatīviem aktiem autoceļu un ielu būvnoteikumu jomā. Gadījumā, ja konkrētajā gadījumā institūcija, kura pilda būvvaldes funkcijas, šādu aktu neizsniedz, jo to neparedz normatīvie akti, dokuments, kas apliecina projektā paredzētā rādītāja sasniegšanu ir finansējuma saņēmēja apliecinājums par jaunas izbūvētas un pārbūvētas veloceļu infrastruktūras nodošanu ekspluatācijā, tai skaitā par atjaunoto, pilnveidoto un pielāgoto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finansējuma saņēmējs noslēguma maksājuma pieprasījuma dokumentācijai pievieno iekšējā auditora vai neatkarīga revidenta atzinumu par projekta izmaksu atbilstību Noteikumu projektā noteiktajām tiešajām attiecināmajām izmaksām un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Finansējums, mērķa grupa un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Investīcijai pieejamais kopējais AF attiecināmais </w:t>
      </w:r>
      <w:r w:rsidR="00000000" w:rsidRPr="00000000" w:rsidDel="00000000">
        <w:rPr>
          <w:b w:val="1"/>
          <w:rtl w:val="0"/>
        </w:rPr>
        <w:t xml:space="preserve">finansējums</w:t>
      </w:r>
      <w:r w:rsidR="00000000" w:rsidRPr="00000000" w:rsidDel="00000000">
        <w:rPr>
          <w:rtl w:val="0"/>
        </w:rPr>
        <w:t xml:space="preserve"> ir 34 514 008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w:t>
      </w:r>
      <w:r w:rsidR="00000000" w:rsidRPr="00000000" w:rsidDel="00000000">
        <w:rPr>
          <w:b w:val="1"/>
          <w:rtl w:val="0"/>
        </w:rPr>
        <w:t xml:space="preserve">mērķa grupa</w:t>
      </w:r>
      <w:r w:rsidR="00000000" w:rsidRPr="00000000" w:rsidDel="00000000">
        <w:rPr>
          <w:rtl w:val="0"/>
        </w:rPr>
        <w:t xml:space="preserve"> ir satiksmes dalībnieki un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w:t>
      </w:r>
      <w:r w:rsidR="00000000" w:rsidRPr="00000000" w:rsidDel="00000000">
        <w:rPr>
          <w:b w:val="1"/>
          <w:rtl w:val="0"/>
        </w:rPr>
        <w:t xml:space="preserve">teritorija</w:t>
      </w:r>
      <w:r w:rsidR="00000000" w:rsidRPr="00000000" w:rsidDel="00000000">
        <w:rPr>
          <w:rtl w:val="0"/>
        </w:rPr>
        <w:t xml:space="preserve"> ir Rīgas pilsēta un Pierīga.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saņēmēji</w:t>
      </w:r>
      <w:r w:rsidR="00000000" w:rsidRPr="00000000" w:rsidDel="00000000">
        <w:rPr>
          <w:rtl w:val="0"/>
        </w:rPr>
        <w:t xml:space="preserve"> ir pašvaldības, kuru teritorijā tiks veiktas investīcijas veloceļu infrastruktūrā. Plānotie finansējuma saņēmēji ir Rīgas valstspilsētas pašvaldība, Ropažu novada pašvaldība, Ķekavas novada pašvaldība, Mārupes novada pašvaldība, Ādažu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Atbalsta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investīcijas īstenošanu ir atbildīga Satiksmes ministrija kā nozares ministrija (turpmāk –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sniedzējs ir Centrālā finanšu un līgumu aģentūra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īstenošanā ir ierobežots pretendentu loks. Plānots, ka katrs finansējuma saņēmējs iesniedz vienu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pēc šo noteikumu spēkā stāšanās 10 darbdienu laikā nosūta katram finansējuma saņēmējam uzaicinājumu iesniegt projekta iesniegumu. Uzaicinājumā norāda projekta iesnieguma iesniegšanas termiņu, kas nav īsāks par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projekta īstenošanai nepieciešamās informācijas iesniegšanu (tostarp, projekta iesniegumu) nodrošina Kohēzijas politikas fondu vadības informācijas sistēmā (turpmāk -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pēc projekta iesnieguma saņemšanas organizē tā pārbaudi atbilstībai šajos noteikumos noteiktajiem nosacījumiem, kā arī, sadarbojoties ar Aģentūru, pārbaudi, vai finansējuma saņēmējs neatbilst turpmāk minētajiem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projekta iesniegumā informācija neatbilst Noteikumu projektā noteiktajiem nosacījumiem, ir pretrunīga vai nepilnīga, Ministrija nosūta finansējuma saņēmējam pieprasījumu iesniegt precizētu projekta iesniegumu un informāciju, kas nepieciešama, lai pārbaudītu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finansējuma saņēmējs pēc augstāk minētās informācijas iesniegšanas neizpilda nosacījumus vai neizpilda tos noteiktajā termiņā, Ministrija atkārtoti nosūta finansējuma saņēmējam pieprasījumu iesniegt precizētu projekta iesniegumu un informāciju, kas nepieciešama, lai pārbaudītu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finansējuma saņēmējs atkārtoti neizpilda nosacījumus vai neizpilda tos noteiktajā termiņā, Ministrija nevirza projektu Aģentūrai vienošanās noslēgšanai par investīcijas projekta īstenošanu 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 var izvērtēt un atkārtoti uzaicināt Noteikumu projektā minēto finansējuma saņēmēju iesniegt jaunu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saņemot pieprasījumu no Ministrijas, termiņā, kas nav īsāks par piecām darbdienām no Ministrijas pieprasījuma saņemšanas, sniedz informāciju, kas nepieciešama finansējuma saņēmēja pārbaudei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136.punktā noteiktajiem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iesniegums atbilst šajos noteikumos noteiktajiem nosacījumiem un uz finansējuma saņēmēju nav attiecināms neviens no šo noteikumu 24.punktā minētajiem izslēgšanas kritērijiem, Ministrija atbalsta projekta virzību Aģentūrai vienošanās noslēgšanai par investīcijas projekta īstenošanu 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w:t>
      </w:r>
      <w:r w:rsidR="00000000" w:rsidRPr="00000000" w:rsidDel="00000000">
        <w:rPr>
          <w:b w:val="1"/>
          <w:rtl w:val="0"/>
        </w:rPr>
        <w:t xml:space="preserve">atbalstāmās darbības</w:t>
      </w:r>
      <w:r w:rsidR="00000000" w:rsidRPr="00000000" w:rsidDel="00000000">
        <w:rPr>
          <w:rtl w:val="0"/>
        </w:rPr>
        <w:t xml:space="preserve"> ir investīciju veikšana reģionāla un pilsētas līmeņa maģistrālajā veloceļu infrastruktūrā, izbūvējot, pārbūvējot, atjaunojot, pilnveidojot un pielāgojot veloceļu infrastruktūru, lai sasaistītu Rīgas apkaimes un Pierīgas apdzīvotības centrus. Projektu īstenošanā finansējuma saņēmējs ņem vērā AF plānā ietverto principu “Nenodarīt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2021.gada 12.februāra regulas Nr.2021/241 ar ko izveido Atveseļošanas un noturības mehānismu (turpmāk – Regula Nr.2021/241) 17.pantu “Attiecināmība” no 2020. gada 1. februāra uzsāktie pasākumi ir attiecināmi, ja tie atbilst šajā regulā noteiktajām prasībām. Līdz ar to Noteikumu projekts paredz, ka projektā nedrīkst būt iekļautas darbības, kas ir uzsāktas pirms 2020.gada 1.februāra.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Nr.2021/241 18.panta “Atveseļošanas un noturības plāns” 4.punkta i) apakšpunktam AF plānā paredzētajām reformām un investīcijām jābūt pabeigtām līdz 2026.gada 31.augustam. Šī paša panta punkta j) apakšpunktā noteikts, ka AF plānā nosaka attiecīgās investīcijas periodu. Saskaņā ar AF plāna 2.pielikumu “Izmaksas un finansējums” 1.1.1.3.i. investīcijas periods ir līdz 2026.gada 31.maijam.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plāna investīcijas ietvaros nav paredzēts attiecināt darbības, kas ir pabeigtas uz AF plāna apstiprināšanas Eiropas Komisijā un Eiropas Padomē brīdi, t.i. uz 2021.gada 13. jūliju. Tomēr šāda iespēja iekļaut šīs investīcijas projektos darbības kas nav vēl pabeigtas uz 2021.gada 13.jūliju, bet ir uzsāktas pirms šī datuma, bet ne agrāk kā 2020.gada 1.februārī, veicina ātrāku projektu īstenošanu un kvantitatīvā rādītājas sasniegšanu. Šāda pieeja, ka - projektā nedrīkst būt iekļautas darbības, kas ir uzsāktas pirms 2020.gada 1.februāra, kā arī darbības, kas ir jau pabeigtas līdz 2021.gada 13.jūlijam, ir saskaņota no Eiropas Komisijas puses, saskaņojot Noteikumu projektu ar Eiropas Komisijas atbildīgo ģenērāldirektorātu.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atbilstoši Finanšu ministrijas vadlīnijām “Vadlīnijas informatīvā ziņojuma vai Ministru kabineta noteikumu izstrādei par Eiropas Savienības Atveseļošanas un noturības mehānisma plāna reformas vai investīcijas ieviešanu” (32.punkts), gadījumos, kad darbības uzsāktas pirms līguma vai vienošanās noslēgšanas, Ministru kabineta noteikumos vai informatīvajā ziņojumā norāda konkrētu izdevumu attiecināmības sākuma termiņu, kā arī iekļauj nosacījumu par brīdi, uz kuru nedrīkst būt pabeigtas darbības. Līdz ar to Noteikumu projekts paredz izdevumu attiecināmības sākuma termiņu – 2020.gada 1.februāri - un nosacījumu par brīdi, uz kuru nedrīkst būt pabeigtas darbības – 2021.gada 13.jūliju.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Attiecināmas ir atbalstāmo darbību izmaksas, ievērojot AF plāna principa “Nenodarīt būtisku kaitējumu” novērtējumā noteiktās darbības,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Atbalstāma ir maģistrālās veloceļu infrastruktūras izveide Rīgā un Pierīgā, veicinot nemotorizēto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nodrošināta infrastruktūras savienojamība - maģistrālie veloceļi pēctecīgi turpinās un savieno Rīgu ar tās apkārtnes teritorijām, kā arī savienojas ar mobilitātes punktiem un papildina multimodālo savienojumu sniegtās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Katrā maršrutā jānodrošina sasaiste starp pilsētas un reģionālās nozīmes veloceļiem;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 tiešā veidā palīdz sasniegt klimat-neitralitātes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var būt attiecināmas, ja tās nav radušās agrāk kā 2020.gada 1.februārī un vēlāk kā vienošanās par projekta īstenošanu noteiktajā termiņā, bet </w:t>
      </w:r>
      <w:r w:rsidR="00000000" w:rsidRPr="00000000" w:rsidDel="00000000">
        <w:rPr>
          <w:b w:val="1"/>
          <w:rtl w:val="0"/>
        </w:rPr>
        <w:t xml:space="preserve">ne vēlāk kā 2026.gada 31.maijā</w:t>
      </w:r>
      <w:r w:rsidR="00000000" w:rsidRPr="00000000" w:rsidDel="00000000">
        <w:rPr>
          <w:rtl w:val="0"/>
        </w:rPr>
        <w:t xml:space="preserve"> (maksimālai projekta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Velosipēdistu iela</w:t>
      </w:r>
      <w:r w:rsidR="00000000" w:rsidRPr="00000000" w:rsidDel="00000000">
        <w:rPr>
          <w:rtl w:val="0"/>
        </w:rPr>
        <w:t xml:space="preserve"> nozīmē, ka maģistrālās nozīmes velotransporta satiksme tiek organizēta vienotā satiksmes telpā ar vietējās nozīmes (piekļuves funkcijas) autosatiksmi, krustojumos nodrošinot priekšroku velo ielai. Izmaksas tiek attiecinātas pēc proporcionalitātes principa – attiecināt var tikai to izmaksu daļu, kas atbilst atbalstam veloceļu infrastruktūrai. Nevar attiecināt to izmaksu daļu, kas atbilst atbalstam autosatiksmei. Finansējuma saņēmējam katrā gadījumā ir jāpamato iepriekšminētā proporcija.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ar veloceļu infrastruktūras izbūvi saistītās izmaksās ietilpst arī esošo ielu, ceļu/ gājēju ceļu </w:t>
      </w:r>
      <w:r w:rsidR="00000000" w:rsidRPr="00000000" w:rsidDel="00000000">
        <w:rPr>
          <w:b w:val="1"/>
          <w:rtl w:val="0"/>
        </w:rPr>
        <w:t xml:space="preserve">pielāgošanas</w:t>
      </w:r>
      <w:r w:rsidR="00000000" w:rsidRPr="00000000" w:rsidDel="00000000">
        <w:rPr>
          <w:rtl w:val="0"/>
        </w:rPr>
        <w:t xml:space="preserve"> izmaksas, lai izveidotu velosipēdistu ceļu. Piemēram, uz esošās ielas/ gājēju ceļa (ietves) velojoslas izveidošana (līniju marķēšana, nodalot velojoslu).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satiksmes organizācijas tehnisko līdzekļu (tai skaitā ceļa zīmes, luksofori, signālstabiņi, aizsargbarjeras, vertikālie un horizontālie ceļa apzīmējumi) uzstādīšanas un atjaunošanas izmaksas ir attiecināmas arī uz esošās veloceļu infrastruktūras </w:t>
      </w:r>
      <w:r w:rsidR="00000000" w:rsidRPr="00000000" w:rsidDel="00000000">
        <w:rPr>
          <w:b w:val="1"/>
          <w:rtl w:val="0"/>
        </w:rPr>
        <w:t xml:space="preserve">pilnveidošanu</w:t>
      </w:r>
      <w:r w:rsidR="00000000" w:rsidRPr="00000000" w:rsidDel="00000000">
        <w:rPr>
          <w:rtl w:val="0"/>
        </w:rPr>
        <w:t xml:space="preserve">, kas ietilpst projektā paredzētajā maršrutā un atbilst Noteikumu projektā noteiktajiem projektu īstenošanas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pozīcija “transportbūvju un ielu tīklam piegulošo inženiertīklu būvniecības izmaksas ne vairāk kā 10 % apmērā no projekta attiecināmo izmaksu kopsummas” attiecas uz pieguļošo (netieši saistīto) infrastruktūru saistībā ar veloceļa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veloceļš šķērsos krustojumu. Lai izbūvētu šo veloceļu, ir jāpārbūvē krustojums, kā rezultātā skarot esošos inženiertīklus (piemēram, kabeļus). Tādā gadījumā šīs izmaksas var būt attiecināmas šajā izmaksu pozīcijā. Tomēr jāievēro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šīs izmaksu pozīcijas apmēru var palielināt vēl līdz 3% no projekta attiecināmo izmaksu kopsummas, to saskaņojot ar Satiksmes ministriju un Aģentūru. Lai šādu palielinājumu varētu saskaņot arī ir vajadzīgs iepriekš minētais sertificēta būvinženiera ekspertīzes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Citi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projekta īstenošanai nepieciešamās informācijas iesniegšanu nodrošina vadības informācijas sistēmā, kas ir Kohēzijas politikas fondu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Aģentūra veic projekta īstenošanas uzraudzību</w:t>
      </w:r>
      <w:r w:rsidR="00000000" w:rsidRPr="00000000" w:rsidDel="00000000">
        <w:rPr>
          <w:rtl w:val="0"/>
        </w:rPr>
        <w:t xml:space="preserve"> atbilstoši kārtībā par AF īstenošanu un uzraudzību noteiktajam, tai skaitā veic pārbaudes, lai pārliecinātos par dubultā finansējuma, krāpšanas, korupcijas un interešu konflikta riska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Aģentūra pieprasa finansējumu</w:t>
      </w:r>
      <w:r w:rsidR="00000000" w:rsidRPr="00000000" w:rsidDel="00000000">
        <w:rPr>
          <w:rtl w:val="0"/>
        </w:rPr>
        <w:t xml:space="preserve"> investīcijas projektu priekšfinansēšanai no budžeta programmas 80.00.00 “Nesadalītais finansējums Eiropas Savienības politiku instrumentu un pārējās ārvalstu finanšu palīdzības līdzfinansēto projektu un pasākumu īstenošanai” atbilstoši kārtībai,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var iesniegt avansa un starpposma maksājuma pieprasījumus Aģentūrā, tomēr avansa un starpposma maksājumu summa nevar pārsniegt 90 %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tiks veiktas veloceļu infrastruktūrā, kas būs publiski pieejama. Ņemot vērā, ka publiskas infrastruktūras īstenošanas gadījumā pasākums nekvalificētos kā komercdarbības atbalsts, Investīcijas ietvaros netiks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tiks veiktas investīcijas transporta sektora infrastruktūrā, projekts tiešā veidā veicinās SEG emisiju samazināšanos un gaisa kvalitātes uzlabošanu, tādējādi arī pozitīvi ietekmējot zaļo dimensiju un zaļo mērķu sasniegšanu (tai skaitā 100% ietekme uz klimata koeficientu/atzīmi un 100% ietekme uz vides koeficientu/atzīmi). Atbilstoši AF plānam (2.pielikuma 2.tabula “Plānotās izmaksas un ekoloģiskā un digitālā ietekme”) projektam plānotais finansējums un projekta atbalstāmās darbības atbilst  intervences kategorijai (investīcijas kodam) 075 – riteņbraukšanas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 veicinās reformas sasniegšanu, pārejot uz videi draudzīgākiem transporta risinājumiem un veicinot nemotorizētu mobilitātei.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rādītāju var uzskatīt par sasniegtu, ja līdz 2024.gada 31.decembrim noslēgti visi būvprojektēšanas, būvdarbu un būvuzraudzības līgumi par visu no jauna izbūvējamo vai pārbūvējamo veloceļu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investīcijas veloceļu infrastruktūras precīzi maršruti būs zināmi tikai pēc projektu iesniegumu sagatavošanas. Šobrīd no pieejamās informācijas nav konstatēta sasaiste, sinerģija ar citu atbalsta instrumentu investīcijām, t.sk. ES fondu 2021.-2027.plānošanas periodā (nav apstiprinātu veloceļu infrastruktūras projektu), kā arī nav konstatēta sasaiste ar 2014.-2020.plānošanas perioda projektiem. Līdz ar to šobrīd nav konstatēti dubultā finansējuma riski. Gadījumā, ja sasaiste sinerģija ar citu atbalsta instrumentu investīcijām tiks konstatēta, apstiprinot jaunus 2021.-2027.plānošanas perioda projektus, īstenojot projektu, finansējuma saņēmējs nodrošina projektā plānoto darbu sasaisti, sinerģiju un demarkāciju ar citu atbalsta instrumentu investīcijām dubultā finansējuma riska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informācijas un publicitātes pasākumus saskaņā ar Regulas Nr. 2021/241 34. pantu un Eiropas Komisijas un Latvijas Republikas Atveseļošanas un noturības mehānisma finansēšanas nolīguma 10.pantu. Īstenojot publicitātes pasākumus, finansējuma saņēmējs ievēro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28. aprīļa rīkojums Nr. 292 “Par Latvijas Atveseļošanas un noturības mehānisma plānu”, https://likumi.lv/ta/id/322858-par-latvijas-atveselosanas-un-noturibas-mehanisma-planu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aprakstu augstāk.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aprakstu augstāk.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satiksmes dalībniekus, iedzīvotājus, veloceļu infrastruktūras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tiks veicināta emisiju samazināšana Rīgas metropoles areālā – Rīgā un Pierīgā.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kuru teritorijā paredzēts no jauna izbūvēt un pārbūvēt veloceļu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finansējuma saņēmēji ir Rīgas valstspilsētas pašvaldība, kā arī Ropažu, Ķekavas, Mārupes un Ādažu novada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jāņem vērā finansējuma saņēmējiem, iesniedzot un īstenojot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Citām juridiskām personām Noteikumu projekta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8 628 502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10 354 202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12 079 903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8 628 502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10 354 202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12 079 903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10 440 487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12 528 585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14 616 683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8 628 502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10 354 202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12 079 903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1 811 985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2 174 383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2 536 780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-1 811 985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-2 174 383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-2 536 780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-1 811 985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-2 174 383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-2 536 780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-1 811 985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-2 174 383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-2 536 780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-1 811 985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-2 174 383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-2 536 780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Investīcijai pieejamais kopējais AF attiecināmais finansējums ir 34 514 008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izdevumi ir projekta ieviešanai nepieciešamie līdzekļi (Eiropas Atveseļošanas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un atbalstāmajām darbībām ir norādīts indikatīvi un var tikt precizēts. Izdevumi sadalīti pa gadiem, pieņemot, ka  2022.gadā ir tikai sagatavošanās darbi un organizēti iepirkumi; 2023., 2024. un 2025.gadā izdevumi katru gadu palielinās, jo projekti tiek īstenoti, veicot būvdarbus.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plānotais sadalījums pa gadiem:</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41"/>
              <w:gridCol w:w="1111"/>
              <w:gridCol w:w="1071"/>
              <w:gridCol w:w="1051"/>
              <w:gridCol w:w="1011"/>
              <w:gridCol w:w="951"/>
              <w:gridCol w:w="861"/>
              <w:tblGridChange w:id="0">
                <w:tblGrid>
                  <w:gridCol w:w="1141"/>
                  <w:gridCol w:w="1111"/>
                  <w:gridCol w:w="1071"/>
                  <w:gridCol w:w="1051"/>
                  <w:gridCol w:w="1011"/>
                  <w:gridCol w:w="951"/>
                  <w:gridCol w:w="8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8 628 502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10 354 202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12 079 903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3 451 401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34 514 008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ietvaros īstenojamo projekta izmaksu attiecināmības termiņš ir līdz 2026. gada 31.maijam.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Ietekme uz pašvaldības budžetu ir izdevumi par pievienotās vērtības nodokļa (turpmāk – PVN)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izmaksas nav attiecināmas finansēšanai no AF finansējuma. Jāņem vērā, ka PVN izmaksas ir jāparedz (jāplāno) Investīcijas īstenošanā un jānorāda plānotajos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likumā “Par valsts budžetu 2022.gadam” noteikto, </w:t>
            </w:r>
            <w:r w:rsidR="00000000" w:rsidRPr="00000000" w:rsidDel="00000000">
              <w:rPr>
                <w:sz w:val="24"/>
                <w:b w:val="1"/>
                <w:rtl w:val="0"/>
              </w:rPr>
              <w:t xml:space="preserve">pašvaldības var saņemt aizņēmumus</w:t>
            </w:r>
            <w:r w:rsidR="00000000" w:rsidRPr="00000000" w:rsidDel="00000000">
              <w:rPr>
                <w:sz w:val="24"/>
                <w:rtl w:val="0"/>
              </w:rPr>
              <w:t xml:space="preserve"> Eiropas Savienības fondu un pārējās ārvalstu finanšu palīdzības līdzfinansēto projektu (turpmāk – Projekti) īstenošanai ar aizņēmuma apmēru, kas nepārsniedz Projekta attiecināmo izmaksu kopsummu. Pašvaldību aizņemšanās mērķi un nosacījumi turpmākajiem gadiem tiek noteikti gadskārtējā valsts budžeta likumā attiecīgajam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Tas nozīmē, ka pašvaldības var saņemt aizņēmumu PVN izmaksām projekta aktivitātēm, ko paredz noslēgtā vienošanās ar Aģentūru par Projekta īstenošanu. Lai pašvaldības Projekta ietvaros varētu saņemt aizņēmumus PVN izmaksām, attiecīgi </w:t>
            </w:r>
            <w:r w:rsidR="00000000" w:rsidRPr="00000000" w:rsidDel="00000000">
              <w:rPr>
                <w:sz w:val="24"/>
                <w:b w:val="1"/>
                <w:rtl w:val="0"/>
              </w:rPr>
              <w:t xml:space="preserve">PVN izmaksām ir jābūt iekļautām projekta ietvaros</w:t>
            </w:r>
            <w:r w:rsidR="00000000" w:rsidRPr="00000000" w:rsidDel="00000000">
              <w:rPr>
                <w:sz w:val="24"/>
                <w:rtl w:val="0"/>
              </w:rPr>
              <w:t xml:space="preserve"> kā projekta sastāvdaļai.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plānotajos projektos investīcijas tiks veiktas veloceļu infrastruktūrā, veicot iepirkumus un slēdzot attiecīgus būvniecības un pakalpojumu līgumus, tie būs PVN apliekami darījumi.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administrēšanas izmaksas nav attiecināmas/netiks segtas no AF  finansējuma.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savlaicīgu projekta īstenošanu, finansējuma saņēmēji varēs pieprasīt avansa maksājumus un starpposma maksājumus. Kopējā piešķirtā avansu un starpposma maksājumu summa/apmērs nevar pārsniegt 90%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var saņemt vairākus avansus. Viena avansa apmērs nepārsniedz 30% no kopējā projekta finansējuma, un tas ir jāapgūst sešu mēnešu laikā saimnieciskā gada ietvaros. Nākamo avansa pieprasījumu var iesniegt Aģentūrā pēc tam, kad iepriekšējais avanss ir apgūts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Detalizētāki avansa saņemšanas nosacījumi, tai skaitā avansa apjomi un to izmaksāšanas kārtība, konkrēti termiņi, kādā jāsasniedz projekta mērķis, tiks atrunāti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kā atbalsta sniedzējs finansējumu maksājumu veikšanai projektu ietvaros pieprasīs no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2021R241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12.februāra regula Nr. 2021/241 ar ko izveido Atveseļošanas un noturības mehānismu (publicēts Eiropas Savienības Oficiālajā vēstnesī 2021. gada 18. februārī, L 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(publicēts Eiropas Savienības Oficiālajā vēstnesī 2018. gada 30. jūlijā, L 193).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12.februāra regula Nr. 2021/241 ar ko izveido Atveseļošanas un noturības mehānismu (publicēts Eiropas Savienības Oficiālajā vēstnesī 2021. gada 18. februārī, L 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2021/241 34.panta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2021/241 17.panta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2021/241 27.pants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(publicēts Eiropas Savienības Oficiālajā vēstnesī 2018. gada 30. jūlijā, L 193).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Nr.2018/1046 136.pants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https://vktap.mk.gov.lv/public_participations/public_discussions/14a0cd95-339d-452c-8b3c-8243d2362c4b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nozares ministrija, Aģentūra kā līgumslēdzējs un pašvaldības, kuras īstenos projektus savā teritorijā, veicot investīcijas veloceļu infrastruktūrā.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rezultāta tiks veicināta emisiju samazināšana Rīgas metropoles areālā – Rīgā un Pierīgā. Kā arī stimulēta pāreja uz videi draudzīgākiem transporta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22-TA-1823</w:t>
    </w:r>
    <w:r>
      <w:br/>
    </w:r>
    <w:r w:rsidR="00000000" w:rsidRPr="00000000" w:rsidDel="00000000">
      <w:rPr>
        <w:rtl w:val="0"/>
      </w:rPr>
      <w:t xml:space="preserve">Izdrukāts 29.07.2026. 21.27 - 5.0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22-TA-1823</w:t>
    </w:r>
    <w:r>
      <w:br/>
    </w:r>
    <w:r w:rsidR="00000000" w:rsidRPr="00000000" w:rsidDel="00000000">
      <w:rPr>
        <w:rtl w:val="0"/>
      </w:rPr>
      <w:t xml:space="preserve">Izdrukāts 29.07.2026. 21.27 - 5.0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anotācija_(ex_ante)_22-TA-1823.docx</dc:title>
</cp:coreProperties>
</file>

<file path=docProps/custom.xml><?xml version="1.0" encoding="utf-8"?>
<Properties xmlns="http://schemas.openxmlformats.org/officeDocument/2006/custom-properties" xmlns:vt="http://schemas.openxmlformats.org/officeDocument/2006/docPropsVTypes"/>
</file>