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419" w:type="pct"/>
        <w:tblInd w:w="5" w:type="dxa"/>
        <w:tblLayout w:type="fixed"/>
        <w:tblLook w:val="04A0" w:firstRow="1" w:lastRow="0" w:firstColumn="1" w:lastColumn="0" w:noHBand="0" w:noVBand="1"/>
      </w:tblPr>
      <w:tblGrid>
        <w:gridCol w:w="10598"/>
      </w:tblGrid>
      <w:tr w:rsidR="00FA1FC6" w:rsidRPr="00FA1FC6" w14:paraId="691B9BC1" w14:textId="77777777" w:rsidTr="002E6327">
        <w:trPr>
          <w:trHeight w:val="585"/>
        </w:trPr>
        <w:tc>
          <w:tcPr>
            <w:tcW w:w="5000" w:type="pct"/>
            <w:tcBorders>
              <w:top w:val="nil"/>
              <w:left w:val="nil"/>
              <w:bottom w:val="nil"/>
              <w:right w:val="nil"/>
            </w:tcBorders>
            <w:shd w:val="clear" w:color="auto" w:fill="auto"/>
            <w:vAlign w:val="bottom"/>
            <w:hideMark/>
          </w:tcPr>
          <w:p w14:paraId="1CA6A035" w14:textId="77777777" w:rsidR="00FA1FC6" w:rsidRPr="00FA1FC6" w:rsidRDefault="00FA1FC6" w:rsidP="002E6327">
            <w:pPr>
              <w:keepNext/>
              <w:spacing w:before="0" w:after="0"/>
              <w:jc w:val="center"/>
              <w:rPr>
                <w:rFonts w:ascii="Times New Roman" w:eastAsia="Times New Roman" w:hAnsi="Times New Roman" w:cs="Times New Roman"/>
                <w:b/>
                <w:bCs/>
                <w:color w:val="000000"/>
                <w:sz w:val="24"/>
                <w:szCs w:val="24"/>
                <w:lang w:eastAsia="en-GB"/>
              </w:rPr>
            </w:pPr>
            <w:r w:rsidRPr="00FA1FC6">
              <w:rPr>
                <w:rFonts w:ascii="Times New Roman" w:eastAsia="Times New Roman" w:hAnsi="Times New Roman" w:cs="Times New Roman"/>
                <w:b/>
                <w:bCs/>
                <w:color w:val="000000"/>
                <w:sz w:val="24"/>
                <w:szCs w:val="24"/>
                <w:lang w:eastAsia="en-GB"/>
              </w:rPr>
              <w:t xml:space="preserve">NEPIECIEŠAMĀS IKT RISINĀJUMA UZTURĒŠANAS IZMAKSAS PĒC PROJEKTA </w:t>
            </w:r>
          </w:p>
          <w:p w14:paraId="3F5CE074" w14:textId="77777777" w:rsidR="00FA1FC6" w:rsidRPr="00FA1FC6" w:rsidRDefault="00FA1FC6" w:rsidP="002E6327">
            <w:pPr>
              <w:keepNext/>
              <w:spacing w:before="0" w:after="0"/>
              <w:jc w:val="center"/>
              <w:rPr>
                <w:rFonts w:ascii="Times New Roman" w:hAnsi="Times New Roman" w:cs="Times New Roman"/>
              </w:rPr>
            </w:pPr>
            <w:r w:rsidRPr="00FA1FC6">
              <w:rPr>
                <w:rFonts w:ascii="Times New Roman" w:eastAsia="Times New Roman" w:hAnsi="Times New Roman" w:cs="Times New Roman"/>
                <w:b/>
                <w:bCs/>
                <w:color w:val="000000"/>
                <w:sz w:val="24"/>
                <w:szCs w:val="24"/>
                <w:lang w:eastAsia="en-GB"/>
              </w:rPr>
              <w:t>(3 un 10 gadu periodā)</w:t>
            </w:r>
          </w:p>
        </w:tc>
      </w:tr>
    </w:tbl>
    <w:p w14:paraId="69D305E5" w14:textId="77777777" w:rsidR="006F6F43" w:rsidRDefault="006F6F43" w:rsidP="006F6F43">
      <w:pPr>
        <w:spacing w:before="0" w:after="0"/>
        <w:ind w:firstLine="567"/>
        <w:jc w:val="both"/>
        <w:rPr>
          <w:rFonts w:ascii="Times New Roman" w:hAnsi="Times New Roman" w:cs="Times New Roman"/>
          <w:sz w:val="24"/>
          <w:szCs w:val="24"/>
        </w:rPr>
      </w:pPr>
    </w:p>
    <w:tbl>
      <w:tblPr>
        <w:tblW w:w="9913" w:type="dxa"/>
        <w:tblLook w:val="04A0" w:firstRow="1" w:lastRow="0" w:firstColumn="1" w:lastColumn="0" w:noHBand="0" w:noVBand="1"/>
      </w:tblPr>
      <w:tblGrid>
        <w:gridCol w:w="2117"/>
        <w:gridCol w:w="1701"/>
        <w:gridCol w:w="1417"/>
        <w:gridCol w:w="1418"/>
        <w:gridCol w:w="1275"/>
        <w:gridCol w:w="993"/>
        <w:gridCol w:w="992"/>
      </w:tblGrid>
      <w:tr w:rsidR="000812C8" w:rsidRPr="00FA1FC6" w14:paraId="0FFE30C1" w14:textId="77777777" w:rsidTr="000812C8">
        <w:trPr>
          <w:trHeight w:val="1068"/>
        </w:trPr>
        <w:tc>
          <w:tcPr>
            <w:tcW w:w="21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1C1647" w14:textId="77777777" w:rsidR="000812C8" w:rsidRPr="00FA1FC6" w:rsidRDefault="000812C8" w:rsidP="00717BD6">
            <w:pPr>
              <w:spacing w:before="0" w:after="0"/>
              <w:jc w:val="center"/>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Pozīcija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8F6EE5" w14:textId="3D6724D9" w:rsidR="000812C8" w:rsidRPr="00FA1FC6" w:rsidRDefault="000812C8" w:rsidP="00717BD6">
            <w:pPr>
              <w:spacing w:before="0" w:after="0"/>
              <w:jc w:val="center"/>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Gads pēc projekta īstenošanas  EUR</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7C9E1D81" w14:textId="77777777" w:rsidR="000812C8" w:rsidRPr="00FA1FC6" w:rsidRDefault="000812C8" w:rsidP="00717BD6">
            <w:pPr>
              <w:spacing w:before="0" w:after="0"/>
              <w:jc w:val="center"/>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Gads projekta īstenošanas +1 gads EUR</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58DEE7A8" w14:textId="77777777" w:rsidR="000812C8" w:rsidRPr="00FA1FC6" w:rsidRDefault="000812C8" w:rsidP="00717BD6">
            <w:pPr>
              <w:spacing w:before="0" w:after="0"/>
              <w:jc w:val="center"/>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Gads projekta īstenošanas +2 gads EUR</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14:paraId="7A69F35E" w14:textId="77777777" w:rsidR="000812C8" w:rsidRPr="00FA1FC6" w:rsidRDefault="000812C8" w:rsidP="00717BD6">
            <w:pPr>
              <w:spacing w:before="0" w:after="0"/>
              <w:jc w:val="center"/>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KOPĀ 3 gadu perioda, EUR</w:t>
            </w:r>
          </w:p>
        </w:tc>
        <w:tc>
          <w:tcPr>
            <w:tcW w:w="993" w:type="dxa"/>
            <w:tcBorders>
              <w:top w:val="single" w:sz="4" w:space="0" w:color="auto"/>
              <w:left w:val="nil"/>
              <w:bottom w:val="single" w:sz="4" w:space="0" w:color="auto"/>
              <w:right w:val="single" w:sz="4" w:space="0" w:color="auto"/>
            </w:tcBorders>
            <w:shd w:val="clear" w:color="auto" w:fill="auto"/>
            <w:vAlign w:val="bottom"/>
            <w:hideMark/>
          </w:tcPr>
          <w:p w14:paraId="4DAA4719" w14:textId="77777777" w:rsidR="000812C8" w:rsidRPr="00FA1FC6" w:rsidRDefault="000812C8" w:rsidP="00717BD6">
            <w:pPr>
              <w:spacing w:before="0" w:after="0"/>
              <w:jc w:val="center"/>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Reižu skaits 10 gadu laikā</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18765DEE" w14:textId="77777777" w:rsidR="000812C8" w:rsidRPr="00FA1FC6" w:rsidRDefault="000812C8" w:rsidP="00717BD6">
            <w:pPr>
              <w:spacing w:before="0" w:after="0"/>
              <w:jc w:val="center"/>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Kopā 10 gadu periodā</w:t>
            </w:r>
          </w:p>
        </w:tc>
      </w:tr>
      <w:tr w:rsidR="000812C8" w:rsidRPr="00FA1FC6" w14:paraId="7EB558E0" w14:textId="77777777" w:rsidTr="000812C8">
        <w:trPr>
          <w:trHeight w:val="990"/>
        </w:trPr>
        <w:tc>
          <w:tcPr>
            <w:tcW w:w="2117" w:type="dxa"/>
            <w:tcBorders>
              <w:top w:val="nil"/>
              <w:left w:val="single" w:sz="4" w:space="0" w:color="auto"/>
              <w:bottom w:val="single" w:sz="4" w:space="0" w:color="auto"/>
              <w:right w:val="single" w:sz="4" w:space="0" w:color="auto"/>
            </w:tcBorders>
            <w:shd w:val="clear" w:color="auto" w:fill="auto"/>
            <w:vAlign w:val="bottom"/>
            <w:hideMark/>
          </w:tcPr>
          <w:p w14:paraId="25A125EB" w14:textId="77777777" w:rsidR="000812C8" w:rsidRPr="00FA1FC6" w:rsidRDefault="000812C8" w:rsidP="00717BD6">
            <w:pPr>
              <w:spacing w:before="0" w:after="0"/>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Tīmekļvietņu vienotās platformas programmatūras uzturēšana</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32387EFD" w14:textId="6B22A4D0"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80000</w:t>
            </w:r>
          </w:p>
        </w:tc>
        <w:tc>
          <w:tcPr>
            <w:tcW w:w="1417" w:type="dxa"/>
            <w:tcBorders>
              <w:top w:val="nil"/>
              <w:left w:val="nil"/>
              <w:bottom w:val="single" w:sz="4" w:space="0" w:color="auto"/>
              <w:right w:val="single" w:sz="4" w:space="0" w:color="auto"/>
            </w:tcBorders>
            <w:shd w:val="clear" w:color="auto" w:fill="auto"/>
            <w:noWrap/>
            <w:vAlign w:val="bottom"/>
            <w:hideMark/>
          </w:tcPr>
          <w:p w14:paraId="3C6C88DA"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80000</w:t>
            </w:r>
          </w:p>
        </w:tc>
        <w:tc>
          <w:tcPr>
            <w:tcW w:w="1418" w:type="dxa"/>
            <w:tcBorders>
              <w:top w:val="nil"/>
              <w:left w:val="nil"/>
              <w:bottom w:val="single" w:sz="4" w:space="0" w:color="auto"/>
              <w:right w:val="single" w:sz="4" w:space="0" w:color="auto"/>
            </w:tcBorders>
            <w:shd w:val="clear" w:color="auto" w:fill="auto"/>
            <w:noWrap/>
            <w:vAlign w:val="bottom"/>
            <w:hideMark/>
          </w:tcPr>
          <w:p w14:paraId="2ACADDFA"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80000</w:t>
            </w:r>
          </w:p>
        </w:tc>
        <w:tc>
          <w:tcPr>
            <w:tcW w:w="1275" w:type="dxa"/>
            <w:tcBorders>
              <w:top w:val="nil"/>
              <w:left w:val="nil"/>
              <w:bottom w:val="single" w:sz="4" w:space="0" w:color="auto"/>
              <w:right w:val="single" w:sz="4" w:space="0" w:color="auto"/>
            </w:tcBorders>
            <w:shd w:val="clear" w:color="auto" w:fill="auto"/>
            <w:noWrap/>
            <w:vAlign w:val="bottom"/>
            <w:hideMark/>
          </w:tcPr>
          <w:p w14:paraId="43B27DF0"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240000</w:t>
            </w:r>
          </w:p>
        </w:tc>
        <w:tc>
          <w:tcPr>
            <w:tcW w:w="993" w:type="dxa"/>
            <w:tcBorders>
              <w:top w:val="nil"/>
              <w:left w:val="nil"/>
              <w:bottom w:val="single" w:sz="4" w:space="0" w:color="auto"/>
              <w:right w:val="single" w:sz="4" w:space="0" w:color="auto"/>
            </w:tcBorders>
            <w:shd w:val="clear" w:color="auto" w:fill="auto"/>
            <w:noWrap/>
            <w:vAlign w:val="bottom"/>
            <w:hideMark/>
          </w:tcPr>
          <w:p w14:paraId="319629EB"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10</w:t>
            </w:r>
          </w:p>
        </w:tc>
        <w:tc>
          <w:tcPr>
            <w:tcW w:w="992" w:type="dxa"/>
            <w:tcBorders>
              <w:top w:val="nil"/>
              <w:left w:val="nil"/>
              <w:bottom w:val="single" w:sz="4" w:space="0" w:color="auto"/>
              <w:right w:val="single" w:sz="4" w:space="0" w:color="auto"/>
            </w:tcBorders>
            <w:shd w:val="clear" w:color="auto" w:fill="auto"/>
            <w:noWrap/>
            <w:vAlign w:val="bottom"/>
            <w:hideMark/>
          </w:tcPr>
          <w:p w14:paraId="68D2EC05"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800000</w:t>
            </w:r>
          </w:p>
        </w:tc>
      </w:tr>
      <w:tr w:rsidR="000812C8" w:rsidRPr="00FA1FC6" w14:paraId="0EE3B90E" w14:textId="77777777" w:rsidTr="000812C8">
        <w:trPr>
          <w:trHeight w:val="288"/>
        </w:trPr>
        <w:tc>
          <w:tcPr>
            <w:tcW w:w="2117" w:type="dxa"/>
            <w:tcBorders>
              <w:top w:val="nil"/>
              <w:left w:val="single" w:sz="4" w:space="0" w:color="auto"/>
              <w:bottom w:val="single" w:sz="4" w:space="0" w:color="auto"/>
              <w:right w:val="single" w:sz="4" w:space="0" w:color="auto"/>
            </w:tcBorders>
            <w:shd w:val="clear" w:color="auto" w:fill="auto"/>
            <w:vAlign w:val="bottom"/>
            <w:hideMark/>
          </w:tcPr>
          <w:p w14:paraId="0E1F7A25" w14:textId="77777777" w:rsidR="000812C8" w:rsidRPr="00FA1FC6" w:rsidRDefault="000812C8" w:rsidP="00717BD6">
            <w:pPr>
              <w:spacing w:before="0" w:after="0"/>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Platformas attīstības vadītājs</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689D9F27" w14:textId="1496E2B2"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40000</w:t>
            </w:r>
          </w:p>
        </w:tc>
        <w:tc>
          <w:tcPr>
            <w:tcW w:w="1417" w:type="dxa"/>
            <w:tcBorders>
              <w:top w:val="nil"/>
              <w:left w:val="nil"/>
              <w:bottom w:val="single" w:sz="4" w:space="0" w:color="auto"/>
              <w:right w:val="single" w:sz="4" w:space="0" w:color="auto"/>
            </w:tcBorders>
            <w:shd w:val="clear" w:color="auto" w:fill="auto"/>
            <w:noWrap/>
            <w:vAlign w:val="bottom"/>
            <w:hideMark/>
          </w:tcPr>
          <w:p w14:paraId="01EF807A"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40000</w:t>
            </w:r>
          </w:p>
        </w:tc>
        <w:tc>
          <w:tcPr>
            <w:tcW w:w="1418" w:type="dxa"/>
            <w:tcBorders>
              <w:top w:val="nil"/>
              <w:left w:val="nil"/>
              <w:bottom w:val="single" w:sz="4" w:space="0" w:color="auto"/>
              <w:right w:val="single" w:sz="4" w:space="0" w:color="auto"/>
            </w:tcBorders>
            <w:shd w:val="clear" w:color="auto" w:fill="auto"/>
            <w:noWrap/>
            <w:vAlign w:val="bottom"/>
            <w:hideMark/>
          </w:tcPr>
          <w:p w14:paraId="5C206B9C"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40000</w:t>
            </w:r>
          </w:p>
        </w:tc>
        <w:tc>
          <w:tcPr>
            <w:tcW w:w="1275" w:type="dxa"/>
            <w:tcBorders>
              <w:top w:val="nil"/>
              <w:left w:val="nil"/>
              <w:bottom w:val="single" w:sz="4" w:space="0" w:color="auto"/>
              <w:right w:val="single" w:sz="4" w:space="0" w:color="auto"/>
            </w:tcBorders>
            <w:shd w:val="clear" w:color="auto" w:fill="auto"/>
            <w:noWrap/>
            <w:vAlign w:val="bottom"/>
            <w:hideMark/>
          </w:tcPr>
          <w:p w14:paraId="62CD2EB7"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120000</w:t>
            </w:r>
          </w:p>
        </w:tc>
        <w:tc>
          <w:tcPr>
            <w:tcW w:w="993" w:type="dxa"/>
            <w:tcBorders>
              <w:top w:val="nil"/>
              <w:left w:val="nil"/>
              <w:bottom w:val="single" w:sz="4" w:space="0" w:color="auto"/>
              <w:right w:val="single" w:sz="4" w:space="0" w:color="auto"/>
            </w:tcBorders>
            <w:shd w:val="clear" w:color="auto" w:fill="auto"/>
            <w:noWrap/>
            <w:vAlign w:val="bottom"/>
            <w:hideMark/>
          </w:tcPr>
          <w:p w14:paraId="74861AAA"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10</w:t>
            </w:r>
          </w:p>
        </w:tc>
        <w:tc>
          <w:tcPr>
            <w:tcW w:w="992" w:type="dxa"/>
            <w:tcBorders>
              <w:top w:val="nil"/>
              <w:left w:val="nil"/>
              <w:bottom w:val="single" w:sz="4" w:space="0" w:color="auto"/>
              <w:right w:val="single" w:sz="4" w:space="0" w:color="auto"/>
            </w:tcBorders>
            <w:shd w:val="clear" w:color="auto" w:fill="auto"/>
            <w:noWrap/>
            <w:vAlign w:val="bottom"/>
            <w:hideMark/>
          </w:tcPr>
          <w:p w14:paraId="57B9D315"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400000</w:t>
            </w:r>
          </w:p>
        </w:tc>
      </w:tr>
      <w:tr w:rsidR="000812C8" w:rsidRPr="00FA1FC6" w14:paraId="009AD203" w14:textId="77777777" w:rsidTr="000812C8">
        <w:trPr>
          <w:trHeight w:val="1068"/>
        </w:trPr>
        <w:tc>
          <w:tcPr>
            <w:tcW w:w="2117" w:type="dxa"/>
            <w:tcBorders>
              <w:top w:val="nil"/>
              <w:left w:val="single" w:sz="4" w:space="0" w:color="auto"/>
              <w:bottom w:val="single" w:sz="4" w:space="0" w:color="auto"/>
              <w:right w:val="single" w:sz="4" w:space="0" w:color="auto"/>
            </w:tcBorders>
            <w:shd w:val="clear" w:color="auto" w:fill="auto"/>
            <w:vAlign w:val="bottom"/>
            <w:hideMark/>
          </w:tcPr>
          <w:p w14:paraId="513EFB31" w14:textId="77777777" w:rsidR="000812C8" w:rsidRPr="00FA1FC6" w:rsidRDefault="000812C8" w:rsidP="00717BD6">
            <w:pPr>
              <w:spacing w:before="0" w:after="0"/>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Tīmekļvietņu izmitināšana un datu centra pakalpojumi (atlīdzība vecākajam datortīklu administratoram un darba vietas uzturēšanas izmaksas)</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78376DF9" w14:textId="0055CD35"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45000</w:t>
            </w:r>
          </w:p>
        </w:tc>
        <w:tc>
          <w:tcPr>
            <w:tcW w:w="1417" w:type="dxa"/>
            <w:tcBorders>
              <w:top w:val="nil"/>
              <w:left w:val="nil"/>
              <w:bottom w:val="single" w:sz="4" w:space="0" w:color="auto"/>
              <w:right w:val="single" w:sz="4" w:space="0" w:color="auto"/>
            </w:tcBorders>
            <w:shd w:val="clear" w:color="auto" w:fill="auto"/>
            <w:noWrap/>
            <w:vAlign w:val="bottom"/>
            <w:hideMark/>
          </w:tcPr>
          <w:p w14:paraId="0182EE3C"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45000</w:t>
            </w:r>
          </w:p>
        </w:tc>
        <w:tc>
          <w:tcPr>
            <w:tcW w:w="1418" w:type="dxa"/>
            <w:tcBorders>
              <w:top w:val="nil"/>
              <w:left w:val="nil"/>
              <w:bottom w:val="single" w:sz="4" w:space="0" w:color="auto"/>
              <w:right w:val="single" w:sz="4" w:space="0" w:color="auto"/>
            </w:tcBorders>
            <w:shd w:val="clear" w:color="auto" w:fill="auto"/>
            <w:noWrap/>
            <w:vAlign w:val="bottom"/>
            <w:hideMark/>
          </w:tcPr>
          <w:p w14:paraId="16FA222E"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45000</w:t>
            </w:r>
          </w:p>
        </w:tc>
        <w:tc>
          <w:tcPr>
            <w:tcW w:w="1275" w:type="dxa"/>
            <w:tcBorders>
              <w:top w:val="nil"/>
              <w:left w:val="nil"/>
              <w:bottom w:val="single" w:sz="4" w:space="0" w:color="auto"/>
              <w:right w:val="single" w:sz="4" w:space="0" w:color="auto"/>
            </w:tcBorders>
            <w:shd w:val="clear" w:color="auto" w:fill="auto"/>
            <w:noWrap/>
            <w:vAlign w:val="bottom"/>
            <w:hideMark/>
          </w:tcPr>
          <w:p w14:paraId="14FE02E6"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135000</w:t>
            </w:r>
          </w:p>
        </w:tc>
        <w:tc>
          <w:tcPr>
            <w:tcW w:w="993" w:type="dxa"/>
            <w:tcBorders>
              <w:top w:val="nil"/>
              <w:left w:val="nil"/>
              <w:bottom w:val="single" w:sz="4" w:space="0" w:color="auto"/>
              <w:right w:val="single" w:sz="4" w:space="0" w:color="auto"/>
            </w:tcBorders>
            <w:shd w:val="clear" w:color="auto" w:fill="auto"/>
            <w:noWrap/>
            <w:vAlign w:val="bottom"/>
            <w:hideMark/>
          </w:tcPr>
          <w:p w14:paraId="6FC1FBC5"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10</w:t>
            </w:r>
          </w:p>
        </w:tc>
        <w:tc>
          <w:tcPr>
            <w:tcW w:w="992" w:type="dxa"/>
            <w:tcBorders>
              <w:top w:val="nil"/>
              <w:left w:val="nil"/>
              <w:bottom w:val="single" w:sz="4" w:space="0" w:color="auto"/>
              <w:right w:val="single" w:sz="4" w:space="0" w:color="auto"/>
            </w:tcBorders>
            <w:shd w:val="clear" w:color="auto" w:fill="auto"/>
            <w:noWrap/>
            <w:vAlign w:val="bottom"/>
            <w:hideMark/>
          </w:tcPr>
          <w:p w14:paraId="7FE49E53"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450000</w:t>
            </w:r>
          </w:p>
        </w:tc>
      </w:tr>
      <w:tr w:rsidR="000812C8" w:rsidRPr="00FA1FC6" w14:paraId="7BA28EF3" w14:textId="77777777" w:rsidTr="000812C8">
        <w:trPr>
          <w:trHeight w:val="288"/>
        </w:trPr>
        <w:tc>
          <w:tcPr>
            <w:tcW w:w="2117" w:type="dxa"/>
            <w:tcBorders>
              <w:top w:val="nil"/>
              <w:left w:val="single" w:sz="4" w:space="0" w:color="auto"/>
              <w:bottom w:val="single" w:sz="4" w:space="0" w:color="auto"/>
              <w:right w:val="single" w:sz="4" w:space="0" w:color="auto"/>
            </w:tcBorders>
            <w:shd w:val="clear" w:color="auto" w:fill="auto"/>
            <w:vAlign w:val="bottom"/>
            <w:hideMark/>
          </w:tcPr>
          <w:p w14:paraId="4E777A4E" w14:textId="77777777" w:rsidR="000812C8" w:rsidRPr="00FA1FC6" w:rsidRDefault="000812C8" w:rsidP="00717BD6">
            <w:pPr>
              <w:spacing w:before="0" w:after="0"/>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Drošības auditi</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589BEB89" w14:textId="1158595E"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25000</w:t>
            </w:r>
          </w:p>
        </w:tc>
        <w:tc>
          <w:tcPr>
            <w:tcW w:w="1417" w:type="dxa"/>
            <w:tcBorders>
              <w:top w:val="nil"/>
              <w:left w:val="nil"/>
              <w:bottom w:val="single" w:sz="4" w:space="0" w:color="auto"/>
              <w:right w:val="single" w:sz="4" w:space="0" w:color="auto"/>
            </w:tcBorders>
            <w:shd w:val="clear" w:color="auto" w:fill="auto"/>
            <w:noWrap/>
            <w:vAlign w:val="bottom"/>
            <w:hideMark/>
          </w:tcPr>
          <w:p w14:paraId="70A7CCF8"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25000</w:t>
            </w:r>
          </w:p>
        </w:tc>
        <w:tc>
          <w:tcPr>
            <w:tcW w:w="1418" w:type="dxa"/>
            <w:tcBorders>
              <w:top w:val="nil"/>
              <w:left w:val="nil"/>
              <w:bottom w:val="single" w:sz="4" w:space="0" w:color="auto"/>
              <w:right w:val="single" w:sz="4" w:space="0" w:color="auto"/>
            </w:tcBorders>
            <w:shd w:val="clear" w:color="auto" w:fill="auto"/>
            <w:noWrap/>
            <w:vAlign w:val="bottom"/>
            <w:hideMark/>
          </w:tcPr>
          <w:p w14:paraId="706F3D01"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25000</w:t>
            </w:r>
          </w:p>
        </w:tc>
        <w:tc>
          <w:tcPr>
            <w:tcW w:w="1275" w:type="dxa"/>
            <w:tcBorders>
              <w:top w:val="nil"/>
              <w:left w:val="nil"/>
              <w:bottom w:val="single" w:sz="4" w:space="0" w:color="auto"/>
              <w:right w:val="single" w:sz="4" w:space="0" w:color="auto"/>
            </w:tcBorders>
            <w:shd w:val="clear" w:color="auto" w:fill="auto"/>
            <w:noWrap/>
            <w:vAlign w:val="bottom"/>
            <w:hideMark/>
          </w:tcPr>
          <w:p w14:paraId="76843364"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75000</w:t>
            </w:r>
          </w:p>
        </w:tc>
        <w:tc>
          <w:tcPr>
            <w:tcW w:w="993" w:type="dxa"/>
            <w:tcBorders>
              <w:top w:val="nil"/>
              <w:left w:val="nil"/>
              <w:bottom w:val="single" w:sz="4" w:space="0" w:color="auto"/>
              <w:right w:val="single" w:sz="4" w:space="0" w:color="auto"/>
            </w:tcBorders>
            <w:shd w:val="clear" w:color="auto" w:fill="auto"/>
            <w:noWrap/>
            <w:vAlign w:val="bottom"/>
            <w:hideMark/>
          </w:tcPr>
          <w:p w14:paraId="48B4700D"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10</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4D3B6BC7"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450000</w:t>
            </w:r>
          </w:p>
        </w:tc>
      </w:tr>
      <w:tr w:rsidR="000812C8" w:rsidRPr="00FA1FC6" w14:paraId="27117CA7" w14:textId="77777777" w:rsidTr="000812C8">
        <w:trPr>
          <w:trHeight w:val="288"/>
        </w:trPr>
        <w:tc>
          <w:tcPr>
            <w:tcW w:w="2117" w:type="dxa"/>
            <w:tcBorders>
              <w:top w:val="nil"/>
              <w:left w:val="single" w:sz="4" w:space="0" w:color="auto"/>
              <w:bottom w:val="single" w:sz="4" w:space="0" w:color="auto"/>
              <w:right w:val="single" w:sz="4" w:space="0" w:color="auto"/>
            </w:tcBorders>
            <w:shd w:val="clear" w:color="auto" w:fill="auto"/>
            <w:vAlign w:val="bottom"/>
            <w:hideMark/>
          </w:tcPr>
          <w:p w14:paraId="2653026E" w14:textId="77777777" w:rsidR="000812C8" w:rsidRPr="00FA1FC6" w:rsidRDefault="000812C8" w:rsidP="00717BD6">
            <w:pPr>
              <w:spacing w:before="0" w:after="0"/>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Veiktspējas auditi</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5990FD11" w14:textId="2EC85AC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20000</w:t>
            </w:r>
          </w:p>
        </w:tc>
        <w:tc>
          <w:tcPr>
            <w:tcW w:w="1417" w:type="dxa"/>
            <w:tcBorders>
              <w:top w:val="nil"/>
              <w:left w:val="nil"/>
              <w:bottom w:val="single" w:sz="4" w:space="0" w:color="auto"/>
              <w:right w:val="single" w:sz="4" w:space="0" w:color="auto"/>
            </w:tcBorders>
            <w:shd w:val="clear" w:color="auto" w:fill="auto"/>
            <w:noWrap/>
            <w:vAlign w:val="bottom"/>
            <w:hideMark/>
          </w:tcPr>
          <w:p w14:paraId="2A495D7A"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20000</w:t>
            </w:r>
          </w:p>
        </w:tc>
        <w:tc>
          <w:tcPr>
            <w:tcW w:w="1418" w:type="dxa"/>
            <w:tcBorders>
              <w:top w:val="nil"/>
              <w:left w:val="nil"/>
              <w:bottom w:val="single" w:sz="4" w:space="0" w:color="auto"/>
              <w:right w:val="single" w:sz="4" w:space="0" w:color="auto"/>
            </w:tcBorders>
            <w:shd w:val="clear" w:color="auto" w:fill="auto"/>
            <w:noWrap/>
            <w:vAlign w:val="bottom"/>
            <w:hideMark/>
          </w:tcPr>
          <w:p w14:paraId="5B93E52A"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20000</w:t>
            </w:r>
          </w:p>
        </w:tc>
        <w:tc>
          <w:tcPr>
            <w:tcW w:w="1275" w:type="dxa"/>
            <w:tcBorders>
              <w:top w:val="nil"/>
              <w:left w:val="nil"/>
              <w:bottom w:val="single" w:sz="4" w:space="0" w:color="auto"/>
              <w:right w:val="single" w:sz="4" w:space="0" w:color="auto"/>
            </w:tcBorders>
            <w:shd w:val="clear" w:color="auto" w:fill="auto"/>
            <w:noWrap/>
            <w:vAlign w:val="bottom"/>
            <w:hideMark/>
          </w:tcPr>
          <w:p w14:paraId="53CB5FE9"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60000</w:t>
            </w:r>
          </w:p>
        </w:tc>
        <w:tc>
          <w:tcPr>
            <w:tcW w:w="993" w:type="dxa"/>
            <w:tcBorders>
              <w:top w:val="nil"/>
              <w:left w:val="nil"/>
              <w:bottom w:val="single" w:sz="4" w:space="0" w:color="auto"/>
              <w:right w:val="single" w:sz="4" w:space="0" w:color="auto"/>
            </w:tcBorders>
            <w:shd w:val="clear" w:color="auto" w:fill="auto"/>
            <w:noWrap/>
            <w:vAlign w:val="bottom"/>
            <w:hideMark/>
          </w:tcPr>
          <w:p w14:paraId="3C2B5DD0" w14:textId="77777777" w:rsidR="000812C8" w:rsidRPr="00FA1FC6" w:rsidRDefault="000812C8" w:rsidP="00717BD6">
            <w:pPr>
              <w:spacing w:before="0" w:after="0"/>
              <w:jc w:val="right"/>
              <w:rPr>
                <w:rFonts w:ascii="Times New Roman" w:eastAsia="Times New Roman" w:hAnsi="Times New Roman" w:cs="Times New Roman"/>
                <w:color w:val="000000"/>
                <w:sz w:val="20"/>
                <w:szCs w:val="20"/>
                <w:lang w:eastAsia="lv-LV"/>
              </w:rPr>
            </w:pPr>
            <w:r w:rsidRPr="00FA1FC6">
              <w:rPr>
                <w:rFonts w:ascii="Times New Roman" w:eastAsia="Times New Roman" w:hAnsi="Times New Roman" w:cs="Times New Roman"/>
                <w:color w:val="000000"/>
                <w:sz w:val="20"/>
                <w:szCs w:val="20"/>
                <w:lang w:eastAsia="lv-LV"/>
              </w:rPr>
              <w:t>10</w:t>
            </w:r>
          </w:p>
        </w:tc>
        <w:tc>
          <w:tcPr>
            <w:tcW w:w="992" w:type="dxa"/>
            <w:vMerge/>
            <w:tcBorders>
              <w:top w:val="nil"/>
              <w:left w:val="single" w:sz="4" w:space="0" w:color="auto"/>
              <w:bottom w:val="single" w:sz="4" w:space="0" w:color="000000"/>
              <w:right w:val="single" w:sz="4" w:space="0" w:color="auto"/>
            </w:tcBorders>
            <w:vAlign w:val="center"/>
            <w:hideMark/>
          </w:tcPr>
          <w:p w14:paraId="66BACB2D" w14:textId="77777777" w:rsidR="000812C8" w:rsidRPr="00FA1FC6" w:rsidRDefault="000812C8" w:rsidP="00717BD6">
            <w:pPr>
              <w:spacing w:before="0" w:after="0"/>
              <w:rPr>
                <w:rFonts w:ascii="Times New Roman" w:eastAsia="Times New Roman" w:hAnsi="Times New Roman" w:cs="Times New Roman"/>
                <w:color w:val="000000"/>
                <w:sz w:val="20"/>
                <w:szCs w:val="20"/>
                <w:lang w:eastAsia="lv-LV"/>
              </w:rPr>
            </w:pPr>
          </w:p>
        </w:tc>
      </w:tr>
      <w:tr w:rsidR="000812C8" w:rsidRPr="00FA1FC6" w14:paraId="3330C04F" w14:textId="77777777" w:rsidTr="000812C8">
        <w:trPr>
          <w:trHeight w:val="300"/>
        </w:trPr>
        <w:tc>
          <w:tcPr>
            <w:tcW w:w="2117" w:type="dxa"/>
            <w:tcBorders>
              <w:top w:val="nil"/>
              <w:left w:val="single" w:sz="4" w:space="0" w:color="auto"/>
              <w:bottom w:val="single" w:sz="4" w:space="0" w:color="auto"/>
              <w:right w:val="single" w:sz="4" w:space="0" w:color="auto"/>
            </w:tcBorders>
            <w:shd w:val="clear" w:color="auto" w:fill="auto"/>
            <w:noWrap/>
            <w:vAlign w:val="bottom"/>
            <w:hideMark/>
          </w:tcPr>
          <w:p w14:paraId="64E7DD72" w14:textId="77777777" w:rsidR="000812C8" w:rsidRPr="00FA1FC6" w:rsidRDefault="000812C8" w:rsidP="00717BD6">
            <w:pPr>
              <w:spacing w:before="0" w:after="0"/>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Kopā</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2E2742E5" w14:textId="1A1798D2" w:rsidR="000812C8" w:rsidRPr="00FA1FC6" w:rsidRDefault="000812C8" w:rsidP="00717BD6">
            <w:pPr>
              <w:spacing w:before="0" w:after="0"/>
              <w:jc w:val="right"/>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210000</w:t>
            </w:r>
          </w:p>
        </w:tc>
        <w:tc>
          <w:tcPr>
            <w:tcW w:w="1417" w:type="dxa"/>
            <w:tcBorders>
              <w:top w:val="nil"/>
              <w:left w:val="nil"/>
              <w:bottom w:val="single" w:sz="4" w:space="0" w:color="auto"/>
              <w:right w:val="single" w:sz="4" w:space="0" w:color="auto"/>
            </w:tcBorders>
            <w:shd w:val="clear" w:color="auto" w:fill="auto"/>
            <w:noWrap/>
            <w:vAlign w:val="bottom"/>
            <w:hideMark/>
          </w:tcPr>
          <w:p w14:paraId="333E14EC" w14:textId="77777777" w:rsidR="000812C8" w:rsidRPr="00FA1FC6" w:rsidRDefault="000812C8" w:rsidP="00717BD6">
            <w:pPr>
              <w:spacing w:before="0" w:after="0"/>
              <w:jc w:val="right"/>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210000</w:t>
            </w:r>
          </w:p>
        </w:tc>
        <w:tc>
          <w:tcPr>
            <w:tcW w:w="1418" w:type="dxa"/>
            <w:tcBorders>
              <w:top w:val="nil"/>
              <w:left w:val="nil"/>
              <w:bottom w:val="single" w:sz="4" w:space="0" w:color="auto"/>
              <w:right w:val="single" w:sz="4" w:space="0" w:color="auto"/>
            </w:tcBorders>
            <w:shd w:val="clear" w:color="auto" w:fill="auto"/>
            <w:noWrap/>
            <w:vAlign w:val="bottom"/>
            <w:hideMark/>
          </w:tcPr>
          <w:p w14:paraId="6FB57161" w14:textId="77777777" w:rsidR="000812C8" w:rsidRPr="00FA1FC6" w:rsidRDefault="000812C8" w:rsidP="00717BD6">
            <w:pPr>
              <w:spacing w:before="0" w:after="0"/>
              <w:jc w:val="right"/>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210000</w:t>
            </w:r>
          </w:p>
        </w:tc>
        <w:tc>
          <w:tcPr>
            <w:tcW w:w="1275" w:type="dxa"/>
            <w:tcBorders>
              <w:top w:val="nil"/>
              <w:left w:val="nil"/>
              <w:bottom w:val="single" w:sz="4" w:space="0" w:color="auto"/>
              <w:right w:val="single" w:sz="4" w:space="0" w:color="auto"/>
            </w:tcBorders>
            <w:shd w:val="clear" w:color="auto" w:fill="auto"/>
            <w:noWrap/>
            <w:vAlign w:val="bottom"/>
            <w:hideMark/>
          </w:tcPr>
          <w:p w14:paraId="1ECB99AA" w14:textId="77777777" w:rsidR="000812C8" w:rsidRPr="00FA1FC6" w:rsidRDefault="000812C8" w:rsidP="00717BD6">
            <w:pPr>
              <w:spacing w:before="0" w:after="0"/>
              <w:jc w:val="right"/>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630000</w:t>
            </w:r>
          </w:p>
        </w:tc>
        <w:tc>
          <w:tcPr>
            <w:tcW w:w="993" w:type="dxa"/>
            <w:tcBorders>
              <w:top w:val="nil"/>
              <w:left w:val="nil"/>
              <w:bottom w:val="single" w:sz="4" w:space="0" w:color="auto"/>
              <w:right w:val="single" w:sz="4" w:space="0" w:color="auto"/>
            </w:tcBorders>
            <w:shd w:val="clear" w:color="auto" w:fill="auto"/>
            <w:noWrap/>
            <w:vAlign w:val="bottom"/>
            <w:hideMark/>
          </w:tcPr>
          <w:p w14:paraId="03D2D951" w14:textId="77777777" w:rsidR="000812C8" w:rsidRPr="00FA1FC6" w:rsidRDefault="000812C8" w:rsidP="00717BD6">
            <w:pPr>
              <w:spacing w:before="0" w:after="0"/>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4AE7A1A3" w14:textId="77777777" w:rsidR="000812C8" w:rsidRPr="00FA1FC6" w:rsidRDefault="000812C8" w:rsidP="00717BD6">
            <w:pPr>
              <w:spacing w:before="0" w:after="0"/>
              <w:jc w:val="right"/>
              <w:rPr>
                <w:rFonts w:ascii="Times New Roman" w:eastAsia="Times New Roman" w:hAnsi="Times New Roman" w:cs="Times New Roman"/>
                <w:b/>
                <w:bCs/>
                <w:color w:val="000000"/>
                <w:sz w:val="20"/>
                <w:szCs w:val="20"/>
                <w:lang w:eastAsia="lv-LV"/>
              </w:rPr>
            </w:pPr>
            <w:r w:rsidRPr="00FA1FC6">
              <w:rPr>
                <w:rFonts w:ascii="Times New Roman" w:eastAsia="Times New Roman" w:hAnsi="Times New Roman" w:cs="Times New Roman"/>
                <w:b/>
                <w:bCs/>
                <w:color w:val="000000"/>
                <w:sz w:val="20"/>
                <w:szCs w:val="20"/>
                <w:lang w:eastAsia="lv-LV"/>
              </w:rPr>
              <w:t>2100000</w:t>
            </w:r>
          </w:p>
        </w:tc>
      </w:tr>
    </w:tbl>
    <w:p w14:paraId="704E6539" w14:textId="77777777" w:rsidR="00FA1FC6" w:rsidRPr="00FA1FC6" w:rsidRDefault="00FA1FC6" w:rsidP="00FA1FC6">
      <w:pPr>
        <w:spacing w:before="0" w:after="160" w:line="259" w:lineRule="auto"/>
        <w:jc w:val="both"/>
        <w:rPr>
          <w:rFonts w:ascii="Times New Roman" w:hAnsi="Times New Roman" w:cs="Times New Roman"/>
        </w:rPr>
      </w:pPr>
    </w:p>
    <w:p w14:paraId="7DE63D35" w14:textId="77777777" w:rsidR="00B006C6" w:rsidRDefault="00B006C6" w:rsidP="00B006C6">
      <w:pPr>
        <w:spacing w:before="0" w:after="0"/>
        <w:ind w:firstLine="567"/>
        <w:jc w:val="both"/>
        <w:rPr>
          <w:rFonts w:ascii="Times New Roman" w:hAnsi="Times New Roman" w:cs="Times New Roman"/>
          <w:i/>
          <w:sz w:val="24"/>
          <w:szCs w:val="24"/>
        </w:rPr>
      </w:pPr>
      <w:r w:rsidRPr="00FA1FC6">
        <w:rPr>
          <w:rFonts w:ascii="Times New Roman" w:hAnsi="Times New Roman" w:cs="Times New Roman"/>
          <w:sz w:val="24"/>
          <w:szCs w:val="24"/>
        </w:rPr>
        <w:t>Aplēstās nepieciešamās IKT TVP uzturēšanas izmaksas 10 gadu periodā</w:t>
      </w:r>
      <w:r>
        <w:rPr>
          <w:rFonts w:ascii="Times New Roman" w:hAnsi="Times New Roman" w:cs="Times New Roman"/>
          <w:sz w:val="24"/>
          <w:szCs w:val="24"/>
        </w:rPr>
        <w:t>.</w:t>
      </w:r>
      <w:r w:rsidRPr="00FA1FC6">
        <w:rPr>
          <w:rFonts w:ascii="Times New Roman" w:hAnsi="Times New Roman" w:cs="Times New Roman"/>
          <w:sz w:val="24"/>
          <w:szCs w:val="24"/>
        </w:rPr>
        <w:t xml:space="preserve"> </w:t>
      </w:r>
      <w:r w:rsidRPr="00FA1FC6">
        <w:rPr>
          <w:rFonts w:ascii="Times New Roman" w:hAnsi="Times New Roman" w:cs="Times New Roman"/>
          <w:sz w:val="24"/>
          <w:szCs w:val="24"/>
        </w:rPr>
        <w:fldChar w:fldCharType="begin"/>
      </w:r>
      <w:r w:rsidRPr="00FA1FC6">
        <w:rPr>
          <w:rFonts w:ascii="Times New Roman" w:hAnsi="Times New Roman" w:cs="Times New Roman"/>
          <w:sz w:val="24"/>
          <w:szCs w:val="24"/>
        </w:rPr>
        <w:instrText xml:space="preserve"> REF _Ref480305982 \h  \* MERGEFORMAT </w:instrText>
      </w:r>
      <w:r w:rsidRPr="00FA1FC6">
        <w:rPr>
          <w:rFonts w:ascii="Times New Roman" w:hAnsi="Times New Roman" w:cs="Times New Roman"/>
          <w:sz w:val="24"/>
          <w:szCs w:val="24"/>
        </w:rPr>
      </w:r>
      <w:r w:rsidRPr="00FA1FC6">
        <w:rPr>
          <w:rFonts w:ascii="Times New Roman" w:hAnsi="Times New Roman" w:cs="Times New Roman"/>
          <w:sz w:val="24"/>
          <w:szCs w:val="24"/>
        </w:rPr>
        <w:fldChar w:fldCharType="separate"/>
      </w:r>
      <w:r w:rsidRPr="00FA1FC6">
        <w:rPr>
          <w:rFonts w:ascii="Times New Roman" w:hAnsi="Times New Roman" w:cs="Times New Roman"/>
          <w:sz w:val="24"/>
          <w:szCs w:val="24"/>
        </w:rPr>
        <w:t>Nepieciešamās IKT risinājuma uzturēšanas izmaksas gadā (pēc projekta īstenošanas</w:t>
      </w:r>
      <w:r w:rsidRPr="00FA1FC6">
        <w:rPr>
          <w:rFonts w:ascii="Times New Roman" w:hAnsi="Times New Roman" w:cs="Times New Roman"/>
          <w:i/>
          <w:sz w:val="24"/>
          <w:szCs w:val="24"/>
        </w:rPr>
        <w:t>)</w:t>
      </w:r>
      <w:r w:rsidRPr="00FA1FC6">
        <w:rPr>
          <w:rFonts w:ascii="Times New Roman" w:hAnsi="Times New Roman" w:cs="Times New Roman"/>
          <w:sz w:val="24"/>
          <w:szCs w:val="24"/>
        </w:rPr>
        <w:fldChar w:fldCharType="end"/>
      </w:r>
      <w:r w:rsidRPr="00FA1FC6">
        <w:rPr>
          <w:rFonts w:ascii="Times New Roman" w:hAnsi="Times New Roman" w:cs="Times New Roman"/>
          <w:sz w:val="24"/>
          <w:szCs w:val="24"/>
        </w:rPr>
        <w:t xml:space="preserve"> sastāda 210 000 </w:t>
      </w:r>
      <w:proofErr w:type="spellStart"/>
      <w:r w:rsidRPr="00FA1FC6">
        <w:rPr>
          <w:rFonts w:ascii="Times New Roman" w:hAnsi="Times New Roman" w:cs="Times New Roman"/>
          <w:i/>
          <w:sz w:val="24"/>
          <w:szCs w:val="24"/>
        </w:rPr>
        <w:t>euro</w:t>
      </w:r>
      <w:proofErr w:type="spellEnd"/>
      <w:r w:rsidRPr="00FA1FC6">
        <w:rPr>
          <w:rFonts w:ascii="Times New Roman" w:hAnsi="Times New Roman" w:cs="Times New Roman"/>
          <w:i/>
          <w:sz w:val="24"/>
          <w:szCs w:val="24"/>
        </w:rPr>
        <w:t xml:space="preserve"> </w:t>
      </w:r>
      <w:r w:rsidRPr="00FA1FC6">
        <w:rPr>
          <w:rFonts w:ascii="Times New Roman" w:hAnsi="Times New Roman" w:cs="Times New Roman"/>
          <w:iCs/>
          <w:sz w:val="24"/>
          <w:szCs w:val="24"/>
        </w:rPr>
        <w:t>gadā</w:t>
      </w:r>
      <w:r>
        <w:rPr>
          <w:rFonts w:ascii="Times New Roman" w:hAnsi="Times New Roman" w:cs="Times New Roman"/>
          <w:i/>
          <w:sz w:val="24"/>
          <w:szCs w:val="24"/>
        </w:rPr>
        <w:t>:</w:t>
      </w:r>
    </w:p>
    <w:p w14:paraId="04C7257A" w14:textId="6EBD8B0F" w:rsidR="00B006C6" w:rsidRPr="007E748E" w:rsidRDefault="00B006C6" w:rsidP="00B006C6">
      <w:pPr>
        <w:numPr>
          <w:ilvl w:val="0"/>
          <w:numId w:val="1"/>
        </w:numPr>
        <w:spacing w:before="0" w:after="0"/>
        <w:jc w:val="both"/>
        <w:rPr>
          <w:rFonts w:ascii="Times New Roman" w:eastAsia="Calibri" w:hAnsi="Times New Roman" w:cs="Times New Roman"/>
          <w:sz w:val="24"/>
          <w:szCs w:val="24"/>
        </w:rPr>
      </w:pPr>
      <w:r w:rsidRPr="007E748E">
        <w:rPr>
          <w:rFonts w:ascii="Times New Roman" w:eastAsia="Calibri" w:hAnsi="Times New Roman" w:cs="Times New Roman"/>
          <w:b/>
          <w:bCs/>
          <w:sz w:val="24"/>
          <w:szCs w:val="24"/>
        </w:rPr>
        <w:t>Tīmekļvietņu vienotās platformas programmatūras uzturēšana</w:t>
      </w:r>
      <w:r w:rsidRPr="007E748E">
        <w:rPr>
          <w:rFonts w:ascii="Times New Roman" w:eastAsia="Calibri" w:hAnsi="Times New Roman" w:cs="Times New Roman"/>
          <w:sz w:val="24"/>
          <w:szCs w:val="24"/>
        </w:rPr>
        <w:t xml:space="preserve"> </w:t>
      </w:r>
      <w:r>
        <w:rPr>
          <w:rFonts w:ascii="Times New Roman" w:eastAsia="Calibri" w:hAnsi="Times New Roman" w:cs="Times New Roman"/>
          <w:sz w:val="24"/>
          <w:szCs w:val="24"/>
        </w:rPr>
        <w:t>- s</w:t>
      </w:r>
      <w:r w:rsidRPr="000812C8">
        <w:rPr>
          <w:rFonts w:ascii="Times New Roman" w:eastAsia="Calibri" w:hAnsi="Times New Roman" w:cs="Times New Roman"/>
          <w:sz w:val="24"/>
          <w:szCs w:val="24"/>
        </w:rPr>
        <w:t xml:space="preserve">istēmas problēmu, kļūdu novēršanas un profilaktiskās uzturēšanas pakalpojumu izdevumi </w:t>
      </w:r>
      <w:r>
        <w:rPr>
          <w:rFonts w:ascii="Times New Roman" w:eastAsia="Calibri" w:hAnsi="Times New Roman" w:cs="Times New Roman"/>
          <w:sz w:val="24"/>
          <w:szCs w:val="24"/>
        </w:rPr>
        <w:t>novērtēti ņemot vērā līdzšinējo nepieciešamo stundu skaitu TVP uzturēšanai, t.i., nepieciešamas 10</w:t>
      </w:r>
      <w:r w:rsidR="0037708B">
        <w:rPr>
          <w:rFonts w:ascii="Times New Roman" w:eastAsia="Calibri" w:hAnsi="Times New Roman" w:cs="Times New Roman"/>
          <w:sz w:val="24"/>
          <w:szCs w:val="24"/>
        </w:rPr>
        <w:t>00</w:t>
      </w:r>
      <w:r>
        <w:rPr>
          <w:rFonts w:ascii="Times New Roman" w:eastAsia="Calibri" w:hAnsi="Times New Roman" w:cs="Times New Roman"/>
          <w:sz w:val="24"/>
          <w:szCs w:val="24"/>
        </w:rPr>
        <w:t xml:space="preserve"> cilvēkstundas. Vienas cilvēkstundas izmaksas pieņemtas atbilstoši tirgus tendencēm </w:t>
      </w:r>
      <w:r w:rsidR="0037708B">
        <w:rPr>
          <w:rFonts w:ascii="Times New Roman" w:eastAsia="Calibri" w:hAnsi="Times New Roman" w:cs="Times New Roman"/>
          <w:sz w:val="24"/>
          <w:szCs w:val="24"/>
        </w:rPr>
        <w:t>80</w:t>
      </w:r>
      <w:r>
        <w:rPr>
          <w:rFonts w:ascii="Times New Roman" w:eastAsia="Calibri" w:hAnsi="Times New Roman" w:cs="Times New Roman"/>
          <w:sz w:val="24"/>
          <w:szCs w:val="24"/>
        </w:rPr>
        <w:t xml:space="preserve"> EUR/h, t.sk. nodokļi. Tādejādi paredzamā nepieciešamā summa </w:t>
      </w:r>
      <w:r w:rsidRPr="007E748E">
        <w:rPr>
          <w:rFonts w:ascii="Times New Roman" w:eastAsia="Calibri" w:hAnsi="Times New Roman" w:cs="Times New Roman"/>
          <w:sz w:val="24"/>
          <w:szCs w:val="24"/>
        </w:rPr>
        <w:t>ir</w:t>
      </w:r>
      <w:r w:rsidRPr="007E748E">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80 000</w:t>
      </w:r>
      <w:r w:rsidRPr="007E748E">
        <w:rPr>
          <w:rFonts w:ascii="Times New Roman" w:eastAsia="Calibri" w:hAnsi="Times New Roman" w:cs="Times New Roman"/>
          <w:sz w:val="24"/>
          <w:szCs w:val="24"/>
        </w:rPr>
        <w:t xml:space="preserve"> </w:t>
      </w:r>
      <w:proofErr w:type="spellStart"/>
      <w:r w:rsidRPr="007E748E">
        <w:rPr>
          <w:rFonts w:ascii="Times New Roman" w:eastAsia="Calibri" w:hAnsi="Times New Roman" w:cs="Times New Roman"/>
          <w:i/>
          <w:iCs/>
          <w:sz w:val="24"/>
          <w:szCs w:val="24"/>
        </w:rPr>
        <w:t>euro</w:t>
      </w:r>
      <w:proofErr w:type="spellEnd"/>
      <w:r w:rsidRPr="007E748E">
        <w:rPr>
          <w:rFonts w:ascii="Times New Roman" w:eastAsia="Calibri" w:hAnsi="Times New Roman" w:cs="Times New Roman"/>
          <w:i/>
          <w:iCs/>
          <w:sz w:val="24"/>
          <w:szCs w:val="24"/>
        </w:rPr>
        <w:t xml:space="preserve"> </w:t>
      </w:r>
      <w:r w:rsidRPr="007E748E">
        <w:rPr>
          <w:rFonts w:ascii="Times New Roman" w:eastAsia="Calibri" w:hAnsi="Times New Roman" w:cs="Times New Roman"/>
          <w:sz w:val="24"/>
          <w:szCs w:val="24"/>
        </w:rPr>
        <w:t>(10</w:t>
      </w:r>
      <w:r w:rsidR="00400E4C">
        <w:rPr>
          <w:rFonts w:ascii="Times New Roman" w:eastAsia="Calibri" w:hAnsi="Times New Roman" w:cs="Times New Roman"/>
          <w:sz w:val="24"/>
          <w:szCs w:val="24"/>
        </w:rPr>
        <w:t>00</w:t>
      </w:r>
      <w:r w:rsidRPr="007E748E">
        <w:rPr>
          <w:rFonts w:ascii="Times New Roman" w:eastAsia="Calibri" w:hAnsi="Times New Roman" w:cs="Times New Roman"/>
          <w:sz w:val="24"/>
          <w:szCs w:val="24"/>
        </w:rPr>
        <w:t xml:space="preserve"> c/</w:t>
      </w:r>
      <w:r>
        <w:rPr>
          <w:rFonts w:ascii="Times New Roman" w:eastAsia="Calibri" w:hAnsi="Times New Roman" w:cs="Times New Roman"/>
          <w:sz w:val="24"/>
          <w:szCs w:val="24"/>
        </w:rPr>
        <w:t>h</w:t>
      </w:r>
      <w:r w:rsidRPr="007E748E">
        <w:rPr>
          <w:rFonts w:ascii="Times New Roman" w:eastAsia="Calibri" w:hAnsi="Times New Roman" w:cs="Times New Roman"/>
          <w:sz w:val="24"/>
          <w:szCs w:val="24"/>
        </w:rPr>
        <w:t xml:space="preserve"> x </w:t>
      </w:r>
      <w:r w:rsidR="00400E4C">
        <w:rPr>
          <w:rFonts w:ascii="Times New Roman" w:eastAsia="Calibri" w:hAnsi="Times New Roman" w:cs="Times New Roman"/>
          <w:sz w:val="24"/>
          <w:szCs w:val="24"/>
        </w:rPr>
        <w:t>80</w:t>
      </w:r>
      <w:r w:rsidRPr="007E748E">
        <w:rPr>
          <w:rFonts w:ascii="Times New Roman" w:eastAsia="Calibri" w:hAnsi="Times New Roman" w:cs="Times New Roman"/>
          <w:sz w:val="24"/>
          <w:szCs w:val="24"/>
        </w:rPr>
        <w:t xml:space="preserve"> </w:t>
      </w:r>
      <w:proofErr w:type="spellStart"/>
      <w:r w:rsidRPr="007E748E">
        <w:rPr>
          <w:rFonts w:ascii="Times New Roman" w:eastAsia="Calibri" w:hAnsi="Times New Roman" w:cs="Times New Roman"/>
          <w:i/>
          <w:iCs/>
          <w:sz w:val="24"/>
          <w:szCs w:val="24"/>
        </w:rPr>
        <w:t>euro</w:t>
      </w:r>
      <w:proofErr w:type="spellEnd"/>
      <w:r w:rsidRPr="007E748E">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8D79CC">
        <w:rPr>
          <w:rFonts w:ascii="Times New Roman" w:eastAsia="Calibri" w:hAnsi="Times New Roman" w:cs="Times New Roman"/>
          <w:sz w:val="24"/>
          <w:szCs w:val="24"/>
        </w:rPr>
        <w:t>Plānotais f</w:t>
      </w:r>
      <w:r>
        <w:rPr>
          <w:rFonts w:ascii="Times New Roman" w:eastAsia="Calibri" w:hAnsi="Times New Roman" w:cs="Times New Roman"/>
          <w:sz w:val="24"/>
          <w:szCs w:val="24"/>
        </w:rPr>
        <w:t>inansējuma saņēmējs Valsts kanceleja.</w:t>
      </w:r>
    </w:p>
    <w:p w14:paraId="66F55950" w14:textId="5511F426" w:rsidR="00B006C6" w:rsidRPr="00C51CAA" w:rsidRDefault="00B006C6" w:rsidP="00B006C6">
      <w:pPr>
        <w:numPr>
          <w:ilvl w:val="0"/>
          <w:numId w:val="1"/>
        </w:numPr>
        <w:spacing w:before="0" w:after="0"/>
        <w:jc w:val="both"/>
        <w:rPr>
          <w:rFonts w:ascii="Times New Roman" w:eastAsia="Calibri" w:hAnsi="Times New Roman" w:cs="Times New Roman"/>
          <w:sz w:val="24"/>
          <w:szCs w:val="24"/>
        </w:rPr>
      </w:pPr>
      <w:r w:rsidRPr="00C51CAA">
        <w:rPr>
          <w:rFonts w:ascii="Times New Roman" w:eastAsia="Calibri" w:hAnsi="Times New Roman" w:cs="Times New Roman"/>
          <w:b/>
          <w:bCs/>
          <w:sz w:val="24"/>
          <w:szCs w:val="24"/>
        </w:rPr>
        <w:t>Platformas attīstības vadītājs</w:t>
      </w:r>
      <w:r w:rsidRPr="00C51CAA">
        <w:rPr>
          <w:rFonts w:ascii="Times New Roman" w:eastAsia="Calibri" w:hAnsi="Times New Roman" w:cs="Times New Roman"/>
          <w:sz w:val="24"/>
          <w:szCs w:val="24"/>
        </w:rPr>
        <w:t xml:space="preserve"> – paredzēta 1 slodze TVP attīstības vadītājam (24.amatu saime, III līmenis, 12 mēnešalgas grupa) Valsts kancelejā, paredzot kopējo summu </w:t>
      </w:r>
      <w:r w:rsidRPr="00C51CAA">
        <w:rPr>
          <w:rFonts w:ascii="Times New Roman" w:eastAsia="Calibri" w:hAnsi="Times New Roman" w:cs="Times New Roman"/>
          <w:b/>
          <w:bCs/>
          <w:sz w:val="24"/>
          <w:szCs w:val="24"/>
        </w:rPr>
        <w:t>40 000</w:t>
      </w:r>
      <w:r w:rsidRPr="00C51CAA">
        <w:rPr>
          <w:rFonts w:ascii="Times New Roman" w:eastAsia="Calibri" w:hAnsi="Times New Roman" w:cs="Times New Roman"/>
          <w:sz w:val="24"/>
          <w:szCs w:val="24"/>
        </w:rPr>
        <w:t xml:space="preserve"> </w:t>
      </w:r>
      <w:proofErr w:type="spellStart"/>
      <w:r w:rsidRPr="00C51CAA">
        <w:rPr>
          <w:rFonts w:ascii="Times New Roman" w:eastAsia="Calibri" w:hAnsi="Times New Roman" w:cs="Times New Roman"/>
          <w:i/>
          <w:iCs/>
          <w:sz w:val="24"/>
          <w:szCs w:val="24"/>
        </w:rPr>
        <w:t>euro</w:t>
      </w:r>
      <w:proofErr w:type="spellEnd"/>
      <w:r w:rsidRPr="00C51CAA">
        <w:rPr>
          <w:rFonts w:ascii="Times New Roman" w:eastAsia="Calibri" w:hAnsi="Times New Roman" w:cs="Times New Roman"/>
          <w:sz w:val="24"/>
          <w:szCs w:val="24"/>
        </w:rPr>
        <w:t xml:space="preserve"> gadā t.sk. ietverts aptuvens plānotais algu</w:t>
      </w:r>
      <w:r w:rsidR="00D209EB">
        <w:rPr>
          <w:rFonts w:ascii="Times New Roman" w:eastAsia="Calibri" w:hAnsi="Times New Roman" w:cs="Times New Roman"/>
          <w:sz w:val="24"/>
          <w:szCs w:val="24"/>
        </w:rPr>
        <w:t xml:space="preserve"> līmenis</w:t>
      </w:r>
      <w:r w:rsidRPr="00C51CAA">
        <w:rPr>
          <w:rFonts w:ascii="Times New Roman" w:eastAsia="Calibri" w:hAnsi="Times New Roman" w:cs="Times New Roman"/>
          <w:sz w:val="24"/>
          <w:szCs w:val="24"/>
        </w:rPr>
        <w:t xml:space="preserve"> pēc Atlīdzības reformas. </w:t>
      </w:r>
      <w:r w:rsidR="008D79CC">
        <w:rPr>
          <w:rFonts w:ascii="Times New Roman" w:eastAsia="Calibri" w:hAnsi="Times New Roman" w:cs="Times New Roman"/>
          <w:sz w:val="24"/>
          <w:szCs w:val="24"/>
        </w:rPr>
        <w:t>Plānotais f</w:t>
      </w:r>
      <w:r w:rsidRPr="00C51CAA">
        <w:rPr>
          <w:rFonts w:ascii="Times New Roman" w:eastAsia="Calibri" w:hAnsi="Times New Roman" w:cs="Times New Roman"/>
          <w:sz w:val="24"/>
          <w:szCs w:val="24"/>
        </w:rPr>
        <w:t>inansējuma saņēmējs Valsts kanceleja.</w:t>
      </w:r>
    </w:p>
    <w:p w14:paraId="6D704167" w14:textId="77777777" w:rsidR="00B006C6" w:rsidRPr="00C51CAA" w:rsidRDefault="00B006C6" w:rsidP="00B006C6">
      <w:pPr>
        <w:numPr>
          <w:ilvl w:val="0"/>
          <w:numId w:val="1"/>
        </w:numPr>
        <w:spacing w:before="0" w:after="0"/>
        <w:jc w:val="both"/>
        <w:rPr>
          <w:rFonts w:ascii="Times New Roman" w:eastAsia="Calibri" w:hAnsi="Times New Roman" w:cs="Times New Roman"/>
          <w:sz w:val="24"/>
          <w:szCs w:val="24"/>
        </w:rPr>
      </w:pPr>
      <w:r w:rsidRPr="00C51CAA">
        <w:rPr>
          <w:rFonts w:ascii="Times New Roman" w:eastAsia="Calibri" w:hAnsi="Times New Roman" w:cs="Times New Roman"/>
          <w:b/>
          <w:bCs/>
          <w:sz w:val="24"/>
          <w:szCs w:val="24"/>
        </w:rPr>
        <w:t xml:space="preserve">Tīmekļvietņu izmitināšana un datu centra pakalpojumi (atlīdzība vecākajam datortīklu administratoram un darba vietas uzturēšanas izmaksas) - </w:t>
      </w:r>
      <w:r w:rsidRPr="00C51CAA">
        <w:rPr>
          <w:rFonts w:ascii="Times New Roman" w:eastAsia="Calibri" w:hAnsi="Times New Roman" w:cs="Times New Roman"/>
          <w:sz w:val="24"/>
          <w:szCs w:val="24"/>
        </w:rPr>
        <w:t xml:space="preserve">kopējās izmaksas plānotas 45 000 </w:t>
      </w:r>
      <w:proofErr w:type="spellStart"/>
      <w:r w:rsidRPr="00C51CAA">
        <w:rPr>
          <w:rFonts w:ascii="Times New Roman" w:eastAsia="Calibri" w:hAnsi="Times New Roman" w:cs="Times New Roman"/>
          <w:i/>
          <w:iCs/>
          <w:sz w:val="24"/>
          <w:szCs w:val="24"/>
        </w:rPr>
        <w:t>euro</w:t>
      </w:r>
      <w:proofErr w:type="spellEnd"/>
      <w:r w:rsidRPr="00C51CAA">
        <w:rPr>
          <w:rFonts w:ascii="Times New Roman" w:eastAsia="Calibri" w:hAnsi="Times New Roman" w:cs="Times New Roman"/>
          <w:sz w:val="24"/>
          <w:szCs w:val="24"/>
        </w:rPr>
        <w:t xml:space="preserve"> gadā, kas veidojas no šādām izmaksām:</w:t>
      </w:r>
    </w:p>
    <w:p w14:paraId="068A097A" w14:textId="001D4C26" w:rsidR="00B006C6" w:rsidRPr="00C51CAA" w:rsidRDefault="00B006C6" w:rsidP="00B006C6">
      <w:pPr>
        <w:numPr>
          <w:ilvl w:val="1"/>
          <w:numId w:val="1"/>
        </w:numPr>
        <w:spacing w:before="0" w:after="0"/>
        <w:jc w:val="both"/>
        <w:rPr>
          <w:rFonts w:ascii="Times New Roman" w:eastAsia="Calibri" w:hAnsi="Times New Roman" w:cs="Times New Roman"/>
          <w:sz w:val="24"/>
          <w:szCs w:val="24"/>
        </w:rPr>
      </w:pPr>
      <w:r w:rsidRPr="00C51CAA">
        <w:rPr>
          <w:rFonts w:ascii="Times New Roman" w:eastAsia="Calibri" w:hAnsi="Times New Roman" w:cs="Times New Roman"/>
          <w:sz w:val="24"/>
          <w:szCs w:val="24"/>
        </w:rPr>
        <w:t xml:space="preserve">paredzēts segt 0,5 slodzi atlīdzības izmaksas vecākajam datortīklu administratoram (19.5.apakšsaime “Sistēmu administrēšana un uzturēšana”, 12 mēnešalgas grupa) Iekšlietu ministrijas Informācijas centrā, paredzot kopējo summu </w:t>
      </w:r>
      <w:r w:rsidR="003D2A07" w:rsidRPr="00C51CAA">
        <w:rPr>
          <w:rFonts w:ascii="Times New Roman" w:eastAsia="Calibri" w:hAnsi="Times New Roman" w:cs="Times New Roman"/>
          <w:b/>
          <w:bCs/>
          <w:sz w:val="24"/>
          <w:szCs w:val="24"/>
        </w:rPr>
        <w:t>20</w:t>
      </w:r>
      <w:r w:rsidRPr="00C51CAA">
        <w:rPr>
          <w:rFonts w:ascii="Times New Roman" w:eastAsia="Calibri" w:hAnsi="Times New Roman" w:cs="Times New Roman"/>
          <w:b/>
          <w:bCs/>
          <w:sz w:val="24"/>
          <w:szCs w:val="24"/>
        </w:rPr>
        <w:t xml:space="preserve"> </w:t>
      </w:r>
      <w:r w:rsidR="003D2A07" w:rsidRPr="00C51CAA">
        <w:rPr>
          <w:rFonts w:ascii="Times New Roman" w:eastAsia="Calibri" w:hAnsi="Times New Roman" w:cs="Times New Roman"/>
          <w:b/>
          <w:bCs/>
          <w:sz w:val="24"/>
          <w:szCs w:val="24"/>
        </w:rPr>
        <w:t>000</w:t>
      </w:r>
      <w:r w:rsidRPr="00C51CAA">
        <w:rPr>
          <w:rFonts w:ascii="Times New Roman" w:eastAsia="Calibri" w:hAnsi="Times New Roman" w:cs="Times New Roman"/>
          <w:sz w:val="24"/>
          <w:szCs w:val="24"/>
        </w:rPr>
        <w:t xml:space="preserve"> </w:t>
      </w:r>
      <w:proofErr w:type="spellStart"/>
      <w:r w:rsidRPr="00C51CAA">
        <w:rPr>
          <w:rFonts w:ascii="Times New Roman" w:eastAsia="Calibri" w:hAnsi="Times New Roman" w:cs="Times New Roman"/>
          <w:i/>
          <w:iCs/>
          <w:sz w:val="24"/>
          <w:szCs w:val="24"/>
        </w:rPr>
        <w:t>euro</w:t>
      </w:r>
      <w:proofErr w:type="spellEnd"/>
      <w:r w:rsidRPr="00C51CAA">
        <w:rPr>
          <w:rFonts w:ascii="Times New Roman" w:eastAsia="Calibri" w:hAnsi="Times New Roman" w:cs="Times New Roman"/>
          <w:sz w:val="24"/>
          <w:szCs w:val="24"/>
        </w:rPr>
        <w:t xml:space="preserve"> gadā. </w:t>
      </w:r>
      <w:r w:rsidR="00C51CAA" w:rsidRPr="00C51CAA">
        <w:rPr>
          <w:rFonts w:ascii="Times New Roman" w:eastAsia="Calibri" w:hAnsi="Times New Roman" w:cs="Times New Roman"/>
          <w:sz w:val="24"/>
          <w:szCs w:val="24"/>
        </w:rPr>
        <w:t>t.sk. ietverts aptuvens plānotais algu</w:t>
      </w:r>
      <w:r w:rsidR="00D209EB">
        <w:rPr>
          <w:rFonts w:ascii="Times New Roman" w:eastAsia="Calibri" w:hAnsi="Times New Roman" w:cs="Times New Roman"/>
          <w:sz w:val="24"/>
          <w:szCs w:val="24"/>
        </w:rPr>
        <w:t xml:space="preserve"> līmenis</w:t>
      </w:r>
      <w:r w:rsidR="00C51CAA" w:rsidRPr="00C51CAA">
        <w:rPr>
          <w:rFonts w:ascii="Times New Roman" w:eastAsia="Calibri" w:hAnsi="Times New Roman" w:cs="Times New Roman"/>
          <w:sz w:val="24"/>
          <w:szCs w:val="24"/>
        </w:rPr>
        <w:t xml:space="preserve"> pēc Atlīdzības reformas.</w:t>
      </w:r>
      <w:r w:rsidR="00C51CAA">
        <w:rPr>
          <w:rFonts w:ascii="Times New Roman" w:eastAsia="Calibri" w:hAnsi="Times New Roman" w:cs="Times New Roman"/>
          <w:sz w:val="24"/>
          <w:szCs w:val="24"/>
        </w:rPr>
        <w:t xml:space="preserve"> </w:t>
      </w:r>
      <w:r w:rsidR="00D209EB">
        <w:rPr>
          <w:rFonts w:ascii="Times New Roman" w:eastAsia="Calibri" w:hAnsi="Times New Roman" w:cs="Times New Roman"/>
          <w:sz w:val="24"/>
          <w:szCs w:val="24"/>
        </w:rPr>
        <w:t>Plānotais f</w:t>
      </w:r>
      <w:r w:rsidRPr="00C51CAA">
        <w:rPr>
          <w:rFonts w:ascii="Times New Roman" w:eastAsia="Calibri" w:hAnsi="Times New Roman" w:cs="Times New Roman"/>
          <w:sz w:val="24"/>
          <w:szCs w:val="24"/>
        </w:rPr>
        <w:t>inansējuma saņēmējs Iekšlietu ministrija /</w:t>
      </w:r>
      <w:r w:rsidR="00D209EB">
        <w:rPr>
          <w:rFonts w:ascii="Times New Roman" w:eastAsia="Calibri" w:hAnsi="Times New Roman" w:cs="Times New Roman"/>
          <w:sz w:val="24"/>
          <w:szCs w:val="24"/>
        </w:rPr>
        <w:t>(</w:t>
      </w:r>
      <w:r w:rsidRPr="00C51CAA">
        <w:rPr>
          <w:rFonts w:ascii="Times New Roman" w:eastAsia="Calibri" w:hAnsi="Times New Roman" w:cs="Times New Roman"/>
          <w:sz w:val="24"/>
          <w:szCs w:val="24"/>
        </w:rPr>
        <w:t>IeM Informācijas centrs</w:t>
      </w:r>
      <w:r w:rsidR="00D209EB">
        <w:rPr>
          <w:rFonts w:ascii="Times New Roman" w:eastAsia="Calibri" w:hAnsi="Times New Roman" w:cs="Times New Roman"/>
          <w:sz w:val="24"/>
          <w:szCs w:val="24"/>
        </w:rPr>
        <w:t>)</w:t>
      </w:r>
      <w:r w:rsidRPr="00C51CAA">
        <w:rPr>
          <w:rFonts w:ascii="Times New Roman" w:eastAsia="Calibri" w:hAnsi="Times New Roman" w:cs="Times New Roman"/>
          <w:sz w:val="24"/>
          <w:szCs w:val="24"/>
        </w:rPr>
        <w:t>;</w:t>
      </w:r>
    </w:p>
    <w:p w14:paraId="789A46F0" w14:textId="190BEB62" w:rsidR="00B006C6" w:rsidRPr="000812C8" w:rsidRDefault="00B006C6" w:rsidP="00B006C6">
      <w:pPr>
        <w:numPr>
          <w:ilvl w:val="1"/>
          <w:numId w:val="1"/>
        </w:numPr>
        <w:spacing w:before="0" w:after="0"/>
        <w:jc w:val="both"/>
        <w:rPr>
          <w:rFonts w:ascii="Times New Roman" w:eastAsia="Calibri" w:hAnsi="Times New Roman" w:cs="Times New Roman"/>
          <w:sz w:val="24"/>
          <w:szCs w:val="24"/>
        </w:rPr>
      </w:pPr>
      <w:r w:rsidRPr="00C51CAA">
        <w:rPr>
          <w:rFonts w:ascii="Times New Roman" w:eastAsia="Calibri" w:hAnsi="Times New Roman" w:cs="Times New Roman"/>
          <w:sz w:val="24"/>
          <w:szCs w:val="24"/>
        </w:rPr>
        <w:t>Paredzēts segt izmaksas, kas saistītas ar trešā datu centra izvietošanu Latvijas</w:t>
      </w:r>
      <w:r>
        <w:rPr>
          <w:rFonts w:ascii="Times New Roman" w:eastAsia="Calibri" w:hAnsi="Times New Roman" w:cs="Times New Roman"/>
          <w:sz w:val="24"/>
          <w:szCs w:val="24"/>
        </w:rPr>
        <w:t xml:space="preserve"> Valsts radio un televīzijas centrā, kā arī rezerves kopēšanas izmaksas. Aptuvenās izmaksas paredzētas </w:t>
      </w:r>
      <w:r w:rsidR="00BA031E">
        <w:rPr>
          <w:rFonts w:ascii="Times New Roman" w:eastAsia="Calibri" w:hAnsi="Times New Roman" w:cs="Times New Roman"/>
          <w:b/>
          <w:bCs/>
          <w:sz w:val="24"/>
          <w:szCs w:val="24"/>
        </w:rPr>
        <w:t>25 000</w:t>
      </w:r>
      <w:r w:rsidR="00BA031E">
        <w:rPr>
          <w:rFonts w:ascii="Times New Roman" w:eastAsia="Calibri" w:hAnsi="Times New Roman" w:cs="Times New Roman"/>
          <w:sz w:val="24"/>
          <w:szCs w:val="24"/>
        </w:rPr>
        <w:t> </w:t>
      </w:r>
      <w:proofErr w:type="spellStart"/>
      <w:r>
        <w:rPr>
          <w:rFonts w:ascii="Times New Roman" w:eastAsia="Calibri" w:hAnsi="Times New Roman" w:cs="Times New Roman"/>
          <w:i/>
          <w:iCs/>
          <w:sz w:val="24"/>
          <w:szCs w:val="24"/>
        </w:rPr>
        <w:t>euro</w:t>
      </w:r>
      <w:proofErr w:type="spellEnd"/>
      <w:r>
        <w:rPr>
          <w:rFonts w:ascii="Times New Roman" w:eastAsia="Calibri" w:hAnsi="Times New Roman" w:cs="Times New Roman"/>
          <w:sz w:val="24"/>
          <w:szCs w:val="24"/>
        </w:rPr>
        <w:t xml:space="preserve"> (</w:t>
      </w:r>
      <w:r w:rsidR="00BA031E">
        <w:rPr>
          <w:rFonts w:ascii="Times New Roman" w:eastAsia="Calibri" w:hAnsi="Times New Roman" w:cs="Times New Roman"/>
          <w:sz w:val="24"/>
          <w:szCs w:val="24"/>
        </w:rPr>
        <w:t>2083,33</w:t>
      </w:r>
      <w:r>
        <w:rPr>
          <w:rFonts w:ascii="Times New Roman" w:eastAsia="Calibri" w:hAnsi="Times New Roman" w:cs="Times New Roman"/>
          <w:sz w:val="24"/>
          <w:szCs w:val="24"/>
        </w:rPr>
        <w:t xml:space="preserve"> </w:t>
      </w:r>
      <w:proofErr w:type="spellStart"/>
      <w:r w:rsidRPr="00B43DDF">
        <w:rPr>
          <w:rFonts w:ascii="Times New Roman" w:eastAsia="Calibri" w:hAnsi="Times New Roman" w:cs="Times New Roman"/>
          <w:i/>
          <w:iCs/>
          <w:sz w:val="24"/>
          <w:szCs w:val="24"/>
        </w:rPr>
        <w:t>euro</w:t>
      </w:r>
      <w:proofErr w:type="spellEnd"/>
      <w:r>
        <w:rPr>
          <w:rFonts w:ascii="Times New Roman" w:eastAsia="Calibri" w:hAnsi="Times New Roman" w:cs="Times New Roman"/>
          <w:sz w:val="24"/>
          <w:szCs w:val="24"/>
        </w:rPr>
        <w:t xml:space="preserve"> mēnesī x 12 mēneši). </w:t>
      </w:r>
      <w:r w:rsidR="00D209EB">
        <w:rPr>
          <w:rFonts w:ascii="Times New Roman" w:eastAsia="Calibri" w:hAnsi="Times New Roman" w:cs="Times New Roman"/>
          <w:sz w:val="24"/>
          <w:szCs w:val="24"/>
        </w:rPr>
        <w:t>Plānotais f</w:t>
      </w:r>
      <w:r w:rsidRPr="00B43DDF">
        <w:rPr>
          <w:rFonts w:ascii="Times New Roman" w:eastAsia="Calibri" w:hAnsi="Times New Roman" w:cs="Times New Roman"/>
          <w:sz w:val="24"/>
          <w:szCs w:val="24"/>
        </w:rPr>
        <w:t>inansējuma</w:t>
      </w:r>
      <w:r>
        <w:rPr>
          <w:rFonts w:ascii="Times New Roman" w:eastAsia="Calibri" w:hAnsi="Times New Roman" w:cs="Times New Roman"/>
          <w:sz w:val="24"/>
          <w:szCs w:val="24"/>
        </w:rPr>
        <w:t xml:space="preserve"> saņēmējs Satiksmes ministrija (LVRTC).</w:t>
      </w:r>
    </w:p>
    <w:p w14:paraId="51A0592D" w14:textId="7E5F0D12" w:rsidR="00B006C6" w:rsidRPr="004F613F" w:rsidRDefault="00B006C6" w:rsidP="004F613F">
      <w:pPr>
        <w:numPr>
          <w:ilvl w:val="0"/>
          <w:numId w:val="1"/>
        </w:numPr>
        <w:spacing w:before="0" w:after="0"/>
        <w:jc w:val="both"/>
        <w:rPr>
          <w:rFonts w:ascii="Times New Roman" w:eastAsia="Calibri" w:hAnsi="Times New Roman" w:cs="Times New Roman"/>
          <w:sz w:val="24"/>
          <w:szCs w:val="24"/>
        </w:rPr>
      </w:pPr>
      <w:r w:rsidRPr="00C028CA">
        <w:rPr>
          <w:rFonts w:ascii="Times New Roman" w:hAnsi="Times New Roman" w:cs="Times New Roman"/>
          <w:b/>
          <w:bCs/>
          <w:sz w:val="24"/>
          <w:szCs w:val="24"/>
        </w:rPr>
        <w:t>Drošības auditi</w:t>
      </w:r>
      <w:r>
        <w:rPr>
          <w:rFonts w:ascii="Times New Roman" w:hAnsi="Times New Roman" w:cs="Times New Roman"/>
          <w:sz w:val="24"/>
          <w:szCs w:val="24"/>
        </w:rPr>
        <w:t xml:space="preserve"> - </w:t>
      </w:r>
      <w:r w:rsidR="00B9195A">
        <w:rPr>
          <w:rFonts w:ascii="Times New Roman" w:hAnsi="Times New Roman" w:cs="Times New Roman"/>
          <w:sz w:val="24"/>
          <w:szCs w:val="24"/>
        </w:rPr>
        <w:t>s</w:t>
      </w:r>
      <w:r w:rsidRPr="000812C8">
        <w:rPr>
          <w:rFonts w:ascii="Times New Roman" w:hAnsi="Times New Roman" w:cs="Times New Roman"/>
          <w:sz w:val="24"/>
          <w:szCs w:val="24"/>
        </w:rPr>
        <w:t>istēmas drošības pārbaudes (sistēmas auditi pēc sistēmas nodošanas ekspluatācijā), ievērojot MK 2015. gada 28. jūlija noteikumus Nr. 442 "Kārtība, kādā</w:t>
      </w:r>
      <w:r w:rsidRPr="000812C8">
        <w:rPr>
          <w:rStyle w:val="apple-converted-space"/>
          <w:rFonts w:ascii="Times New Roman" w:hAnsi="Times New Roman" w:cs="Times New Roman"/>
          <w:b/>
          <w:bCs/>
          <w:color w:val="414142"/>
          <w:sz w:val="24"/>
          <w:szCs w:val="24"/>
          <w:shd w:val="clear" w:color="auto" w:fill="FFFFFF"/>
        </w:rPr>
        <w:t> </w:t>
      </w:r>
      <w:r w:rsidRPr="000812C8">
        <w:rPr>
          <w:rFonts w:ascii="Times New Roman" w:hAnsi="Times New Roman" w:cs="Times New Roman"/>
          <w:sz w:val="24"/>
          <w:szCs w:val="24"/>
        </w:rPr>
        <w:t xml:space="preserve">tiek nodrošināta informācijas un komunikācijas tehnoloģiju sistēmu atbilstība minimālajām drošības </w:t>
      </w:r>
      <w:r w:rsidRPr="000812C8">
        <w:rPr>
          <w:rFonts w:ascii="Times New Roman" w:hAnsi="Times New Roman" w:cs="Times New Roman"/>
          <w:sz w:val="24"/>
          <w:szCs w:val="24"/>
        </w:rPr>
        <w:lastRenderedPageBreak/>
        <w:t xml:space="preserve">prasībām", TVP ārējais sistēmas drošības audits tiks veikts reizi gadā, un tam nepieciešamie izdevumi ir </w:t>
      </w:r>
      <w:r>
        <w:rPr>
          <w:rFonts w:ascii="Times New Roman" w:hAnsi="Times New Roman" w:cs="Times New Roman"/>
          <w:b/>
          <w:sz w:val="24"/>
          <w:szCs w:val="24"/>
        </w:rPr>
        <w:t>25</w:t>
      </w:r>
      <w:r w:rsidRPr="000812C8">
        <w:rPr>
          <w:rFonts w:ascii="Times New Roman" w:hAnsi="Times New Roman" w:cs="Times New Roman"/>
          <w:b/>
          <w:sz w:val="24"/>
          <w:szCs w:val="24"/>
        </w:rPr>
        <w:t> 000</w:t>
      </w:r>
      <w:r w:rsidRPr="000812C8">
        <w:rPr>
          <w:rFonts w:ascii="Times New Roman" w:hAnsi="Times New Roman" w:cs="Times New Roman"/>
          <w:sz w:val="24"/>
          <w:szCs w:val="24"/>
        </w:rPr>
        <w:t xml:space="preserve"> </w:t>
      </w:r>
      <w:proofErr w:type="spellStart"/>
      <w:r w:rsidRPr="000812C8">
        <w:rPr>
          <w:rFonts w:ascii="Times New Roman" w:hAnsi="Times New Roman" w:cs="Times New Roman"/>
          <w:i/>
          <w:sz w:val="24"/>
          <w:szCs w:val="24"/>
        </w:rPr>
        <w:t>euro</w:t>
      </w:r>
      <w:proofErr w:type="spellEnd"/>
      <w:r w:rsidRPr="000812C8">
        <w:rPr>
          <w:rFonts w:ascii="Times New Roman" w:hAnsi="Times New Roman" w:cs="Times New Roman"/>
          <w:i/>
          <w:sz w:val="24"/>
          <w:szCs w:val="24"/>
        </w:rPr>
        <w:t>.</w:t>
      </w:r>
      <w:r>
        <w:rPr>
          <w:rFonts w:ascii="Times New Roman" w:hAnsi="Times New Roman" w:cs="Times New Roman"/>
          <w:i/>
          <w:sz w:val="24"/>
          <w:szCs w:val="24"/>
        </w:rPr>
        <w:t xml:space="preserve"> </w:t>
      </w:r>
      <w:r w:rsidRPr="00C028CA">
        <w:rPr>
          <w:rFonts w:ascii="Times New Roman" w:hAnsi="Times New Roman" w:cs="Times New Roman"/>
          <w:sz w:val="24"/>
          <w:szCs w:val="24"/>
        </w:rPr>
        <w:t xml:space="preserve">Plānotās izmaksas balstītas izmaksās, kādas VRAA bijušas līdzvērtīgu sistēmu </w:t>
      </w:r>
      <w:r>
        <w:rPr>
          <w:rFonts w:ascii="Times New Roman" w:hAnsi="Times New Roman" w:cs="Times New Roman"/>
          <w:sz w:val="24"/>
          <w:szCs w:val="24"/>
        </w:rPr>
        <w:t>drošības</w:t>
      </w:r>
      <w:r w:rsidRPr="00C028CA">
        <w:rPr>
          <w:rFonts w:ascii="Times New Roman" w:hAnsi="Times New Roman" w:cs="Times New Roman"/>
          <w:sz w:val="24"/>
          <w:szCs w:val="24"/>
        </w:rPr>
        <w:t xml:space="preserve"> auditiem</w:t>
      </w:r>
      <w:r>
        <w:rPr>
          <w:rFonts w:ascii="Times New Roman" w:hAnsi="Times New Roman" w:cs="Times New Roman"/>
          <w:sz w:val="24"/>
          <w:szCs w:val="24"/>
        </w:rPr>
        <w:t xml:space="preserve"> un ņemts vērā TVP apjoma pieaugums (sākotnēji plānoto 60 iestāžu vietā platformu izmantos jau vismaz 110 iestādes)</w:t>
      </w:r>
      <w:r w:rsidRPr="00C028CA">
        <w:rPr>
          <w:rFonts w:ascii="Times New Roman" w:hAnsi="Times New Roman" w:cs="Times New Roman"/>
          <w:sz w:val="24"/>
          <w:szCs w:val="24"/>
        </w:rPr>
        <w:t>.</w:t>
      </w:r>
      <w:r w:rsidR="004F613F">
        <w:rPr>
          <w:rFonts w:ascii="Times New Roman" w:hAnsi="Times New Roman" w:cs="Times New Roman"/>
          <w:sz w:val="24"/>
          <w:szCs w:val="24"/>
        </w:rPr>
        <w:t xml:space="preserve"> </w:t>
      </w:r>
      <w:r w:rsidR="00D209EB">
        <w:rPr>
          <w:rFonts w:ascii="Times New Roman" w:hAnsi="Times New Roman" w:cs="Times New Roman"/>
          <w:sz w:val="24"/>
          <w:szCs w:val="24"/>
        </w:rPr>
        <w:t xml:space="preserve">Plānotais </w:t>
      </w:r>
      <w:r w:rsidR="00D209EB">
        <w:rPr>
          <w:rFonts w:ascii="Times New Roman" w:eastAsia="Calibri" w:hAnsi="Times New Roman" w:cs="Times New Roman"/>
          <w:sz w:val="24"/>
          <w:szCs w:val="24"/>
        </w:rPr>
        <w:t>f</w:t>
      </w:r>
      <w:r w:rsidR="004F613F">
        <w:rPr>
          <w:rFonts w:ascii="Times New Roman" w:eastAsia="Calibri" w:hAnsi="Times New Roman" w:cs="Times New Roman"/>
          <w:sz w:val="24"/>
          <w:szCs w:val="24"/>
        </w:rPr>
        <w:t xml:space="preserve">inansējuma saņēmējs Vides aizsardzības un reģionālās attīstības ministrija </w:t>
      </w:r>
      <w:r w:rsidR="00D209EB">
        <w:rPr>
          <w:rFonts w:ascii="Times New Roman" w:eastAsia="Calibri" w:hAnsi="Times New Roman" w:cs="Times New Roman"/>
          <w:sz w:val="24"/>
          <w:szCs w:val="24"/>
        </w:rPr>
        <w:t>(</w:t>
      </w:r>
      <w:r w:rsidR="004F613F">
        <w:rPr>
          <w:rFonts w:ascii="Times New Roman" w:eastAsia="Calibri" w:hAnsi="Times New Roman" w:cs="Times New Roman"/>
          <w:sz w:val="24"/>
          <w:szCs w:val="24"/>
        </w:rPr>
        <w:t>VRAA</w:t>
      </w:r>
      <w:r w:rsidR="00D209EB">
        <w:rPr>
          <w:rFonts w:ascii="Times New Roman" w:eastAsia="Calibri" w:hAnsi="Times New Roman" w:cs="Times New Roman"/>
          <w:sz w:val="24"/>
          <w:szCs w:val="24"/>
        </w:rPr>
        <w:t>)</w:t>
      </w:r>
      <w:r w:rsidR="004F613F">
        <w:rPr>
          <w:rFonts w:ascii="Times New Roman" w:eastAsia="Calibri" w:hAnsi="Times New Roman" w:cs="Times New Roman"/>
          <w:sz w:val="24"/>
          <w:szCs w:val="24"/>
        </w:rPr>
        <w:t>.</w:t>
      </w:r>
    </w:p>
    <w:p w14:paraId="0F89F415" w14:textId="1F856E5E" w:rsidR="00B006C6" w:rsidRPr="00C028CA" w:rsidRDefault="00B006C6" w:rsidP="00B006C6">
      <w:pPr>
        <w:numPr>
          <w:ilvl w:val="0"/>
          <w:numId w:val="1"/>
        </w:numPr>
        <w:spacing w:before="0" w:after="0"/>
        <w:ind w:left="284" w:hanging="284"/>
        <w:jc w:val="both"/>
        <w:rPr>
          <w:rFonts w:ascii="Times New Roman" w:hAnsi="Times New Roman" w:cs="Times New Roman"/>
          <w:sz w:val="24"/>
          <w:szCs w:val="24"/>
        </w:rPr>
      </w:pPr>
      <w:r w:rsidRPr="00C028CA">
        <w:rPr>
          <w:rFonts w:ascii="Times New Roman" w:hAnsi="Times New Roman" w:cs="Times New Roman"/>
          <w:b/>
          <w:bCs/>
          <w:sz w:val="24"/>
          <w:szCs w:val="24"/>
        </w:rPr>
        <w:t>Veiktspējas auditi</w:t>
      </w:r>
      <w:r w:rsidRPr="00C028CA">
        <w:rPr>
          <w:rFonts w:ascii="Times New Roman" w:hAnsi="Times New Roman" w:cs="Times New Roman"/>
          <w:sz w:val="24"/>
          <w:szCs w:val="24"/>
        </w:rPr>
        <w:t xml:space="preserve"> – ņemot vērā, ka TVP izmantos vismaz 110 iestādes, TVP veiktspējas loma ir būtiski pieaugusi, tādēļ plānots sistēmas veiktspējas auditus veikt vismaz vienu reizi gadā. Viena veiktspējas audita izmaksas paredzamas </w:t>
      </w:r>
      <w:r w:rsidRPr="00C028CA">
        <w:rPr>
          <w:rFonts w:ascii="Times New Roman" w:hAnsi="Times New Roman" w:cs="Times New Roman"/>
          <w:b/>
          <w:bCs/>
          <w:sz w:val="24"/>
          <w:szCs w:val="24"/>
        </w:rPr>
        <w:t xml:space="preserve">20 000 </w:t>
      </w:r>
      <w:proofErr w:type="spellStart"/>
      <w:r w:rsidRPr="00C028CA">
        <w:rPr>
          <w:rFonts w:ascii="Times New Roman" w:hAnsi="Times New Roman" w:cs="Times New Roman"/>
          <w:b/>
          <w:bCs/>
          <w:i/>
          <w:iCs/>
          <w:sz w:val="24"/>
          <w:szCs w:val="24"/>
        </w:rPr>
        <w:t>euro</w:t>
      </w:r>
      <w:proofErr w:type="spellEnd"/>
      <w:r w:rsidRPr="00C028CA">
        <w:rPr>
          <w:rFonts w:ascii="Times New Roman" w:hAnsi="Times New Roman" w:cs="Times New Roman"/>
          <w:sz w:val="24"/>
          <w:szCs w:val="24"/>
        </w:rPr>
        <w:t>. Plānotās izmaksas balstītas izmaksās, kādas VRAA bijušas līdzvērtīgu sistēmu veiktspējas auditiem</w:t>
      </w:r>
      <w:r>
        <w:rPr>
          <w:rFonts w:ascii="Times New Roman" w:hAnsi="Times New Roman" w:cs="Times New Roman"/>
          <w:sz w:val="24"/>
          <w:szCs w:val="24"/>
        </w:rPr>
        <w:t xml:space="preserve"> un ņemts vērā TVP apjoma pieaugums (sākotnēji plānoto 60 iestāžu vietā platformu izmantos jau vismaz 110 iestādes)</w:t>
      </w:r>
      <w:r w:rsidRPr="00C028CA">
        <w:rPr>
          <w:rFonts w:ascii="Times New Roman" w:hAnsi="Times New Roman" w:cs="Times New Roman"/>
          <w:sz w:val="24"/>
          <w:szCs w:val="24"/>
        </w:rPr>
        <w:t>.</w:t>
      </w:r>
      <w:r w:rsidR="004F613F">
        <w:rPr>
          <w:rFonts w:ascii="Times New Roman" w:hAnsi="Times New Roman" w:cs="Times New Roman"/>
          <w:sz w:val="24"/>
          <w:szCs w:val="24"/>
        </w:rPr>
        <w:t xml:space="preserve"> </w:t>
      </w:r>
      <w:r w:rsidR="00D209EB">
        <w:rPr>
          <w:rFonts w:ascii="Times New Roman" w:hAnsi="Times New Roman" w:cs="Times New Roman"/>
          <w:sz w:val="24"/>
          <w:szCs w:val="24"/>
        </w:rPr>
        <w:t xml:space="preserve">Plānotais </w:t>
      </w:r>
      <w:r w:rsidR="00D209EB">
        <w:rPr>
          <w:rFonts w:ascii="Times New Roman" w:eastAsia="Calibri" w:hAnsi="Times New Roman" w:cs="Times New Roman"/>
          <w:sz w:val="24"/>
          <w:szCs w:val="24"/>
        </w:rPr>
        <w:t>f</w:t>
      </w:r>
      <w:r w:rsidR="004F613F">
        <w:rPr>
          <w:rFonts w:ascii="Times New Roman" w:eastAsia="Calibri" w:hAnsi="Times New Roman" w:cs="Times New Roman"/>
          <w:sz w:val="24"/>
          <w:szCs w:val="24"/>
        </w:rPr>
        <w:t xml:space="preserve">inansējuma saņēmējs Vides aizsardzības un reģionālās attīstības ministrija </w:t>
      </w:r>
      <w:r w:rsidR="00D209EB">
        <w:rPr>
          <w:rFonts w:ascii="Times New Roman" w:eastAsia="Calibri" w:hAnsi="Times New Roman" w:cs="Times New Roman"/>
          <w:sz w:val="24"/>
          <w:szCs w:val="24"/>
        </w:rPr>
        <w:t>(</w:t>
      </w:r>
      <w:r w:rsidR="004F613F">
        <w:rPr>
          <w:rFonts w:ascii="Times New Roman" w:eastAsia="Calibri" w:hAnsi="Times New Roman" w:cs="Times New Roman"/>
          <w:sz w:val="24"/>
          <w:szCs w:val="24"/>
        </w:rPr>
        <w:t>VRAA</w:t>
      </w:r>
      <w:r w:rsidR="00D209EB">
        <w:rPr>
          <w:rFonts w:ascii="Times New Roman" w:eastAsia="Calibri" w:hAnsi="Times New Roman" w:cs="Times New Roman"/>
          <w:sz w:val="24"/>
          <w:szCs w:val="24"/>
        </w:rPr>
        <w:t>)</w:t>
      </w:r>
      <w:r w:rsidR="004F613F">
        <w:rPr>
          <w:rFonts w:ascii="Times New Roman" w:eastAsia="Calibri" w:hAnsi="Times New Roman" w:cs="Times New Roman"/>
          <w:sz w:val="24"/>
          <w:szCs w:val="24"/>
        </w:rPr>
        <w:t>.</w:t>
      </w:r>
    </w:p>
    <w:p w14:paraId="1CE47C91" w14:textId="77777777" w:rsidR="00F01ACA" w:rsidRPr="00FA1FC6" w:rsidRDefault="00F01ACA" w:rsidP="00FA1FC6">
      <w:pPr>
        <w:rPr>
          <w:rFonts w:ascii="Times New Roman" w:hAnsi="Times New Roman" w:cs="Times New Roman"/>
        </w:rPr>
      </w:pPr>
    </w:p>
    <w:sectPr w:rsidR="00F01ACA" w:rsidRPr="00FA1FC6" w:rsidSect="000812C8">
      <w:pgSz w:w="11906" w:h="16838" w:code="9"/>
      <w:pgMar w:top="1134" w:right="993"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E0F0A" w14:textId="77777777" w:rsidR="00D00709" w:rsidRDefault="00D00709" w:rsidP="000812C8">
      <w:pPr>
        <w:spacing w:before="0" w:after="0"/>
      </w:pPr>
      <w:r>
        <w:separator/>
      </w:r>
    </w:p>
  </w:endnote>
  <w:endnote w:type="continuationSeparator" w:id="0">
    <w:p w14:paraId="4B0F5F76" w14:textId="77777777" w:rsidR="00D00709" w:rsidRDefault="00D00709" w:rsidP="000812C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B59D0" w14:textId="77777777" w:rsidR="00D00709" w:rsidRDefault="00D00709" w:rsidP="000812C8">
      <w:pPr>
        <w:spacing w:before="0" w:after="0"/>
      </w:pPr>
      <w:r>
        <w:separator/>
      </w:r>
    </w:p>
  </w:footnote>
  <w:footnote w:type="continuationSeparator" w:id="0">
    <w:p w14:paraId="6053F72C" w14:textId="77777777" w:rsidR="00D00709" w:rsidRDefault="00D00709" w:rsidP="000812C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0707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85523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FC6"/>
    <w:rsid w:val="000812C8"/>
    <w:rsid w:val="00160EA1"/>
    <w:rsid w:val="001F4377"/>
    <w:rsid w:val="0037708B"/>
    <w:rsid w:val="003D2A07"/>
    <w:rsid w:val="00400E4C"/>
    <w:rsid w:val="004F613F"/>
    <w:rsid w:val="00631F72"/>
    <w:rsid w:val="006F6F43"/>
    <w:rsid w:val="00717BD6"/>
    <w:rsid w:val="007E748E"/>
    <w:rsid w:val="008D79CC"/>
    <w:rsid w:val="00B006C6"/>
    <w:rsid w:val="00B43DDF"/>
    <w:rsid w:val="00B66E57"/>
    <w:rsid w:val="00B7543A"/>
    <w:rsid w:val="00B9195A"/>
    <w:rsid w:val="00BA031E"/>
    <w:rsid w:val="00C028CA"/>
    <w:rsid w:val="00C23EAA"/>
    <w:rsid w:val="00C51CAA"/>
    <w:rsid w:val="00CB6450"/>
    <w:rsid w:val="00CC7B3E"/>
    <w:rsid w:val="00D00709"/>
    <w:rsid w:val="00D209EB"/>
    <w:rsid w:val="00F01ACA"/>
    <w:rsid w:val="00F3292E"/>
    <w:rsid w:val="00FA1F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DAAC"/>
  <w15:chartTrackingRefBased/>
  <w15:docId w15:val="{E8743AF1-F1C9-49E6-BEBB-8693D4643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FC6"/>
    <w:pPr>
      <w:spacing w:before="80" w:after="8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1FC6"/>
    <w:pPr>
      <w:spacing w:before="8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0812C8"/>
  </w:style>
  <w:style w:type="paragraph" w:styleId="FootnoteText">
    <w:name w:val="footnote text"/>
    <w:aliases w:val=" Char10,Char1,Char10,Fußnote Char Char Char,Fußnotentext Char Char Char,Fußnotentext Char Char Char Char Char Char Char,Fußnotentext Char Char Char Char Char Char Char Char,Fußnotentext Char Char Char Char Char Char Char Char Char Char,f"/>
    <w:basedOn w:val="Normal"/>
    <w:link w:val="FootnoteTextChar"/>
    <w:rsid w:val="000812C8"/>
    <w:pPr>
      <w:overflowPunct w:val="0"/>
      <w:autoSpaceDE w:val="0"/>
      <w:autoSpaceDN w:val="0"/>
      <w:adjustRightInd w:val="0"/>
      <w:spacing w:before="0" w:after="60"/>
      <w:textAlignment w:val="baseline"/>
    </w:pPr>
    <w:rPr>
      <w:rFonts w:ascii="Segoe UI" w:eastAsia="Times New Roman" w:hAnsi="Segoe UI" w:cs="Times New Roman"/>
      <w:sz w:val="18"/>
      <w:szCs w:val="24"/>
    </w:rPr>
  </w:style>
  <w:style w:type="character" w:customStyle="1" w:styleId="FootnoteTextChar">
    <w:name w:val="Footnote Text Char"/>
    <w:aliases w:val=" Char10 Char,Char1 Char,Char10 Char,Fußnote Char Char Char Char,Fußnotentext Char Char Char Char,Fußnotentext Char Char Char Char Char Char Char Char1,Fußnotentext Char Char Char Char Char Char Char Char Char,f Char"/>
    <w:basedOn w:val="DefaultParagraphFont"/>
    <w:link w:val="FootnoteText"/>
    <w:rsid w:val="000812C8"/>
    <w:rPr>
      <w:rFonts w:ascii="Segoe UI" w:eastAsia="Times New Roman" w:hAnsi="Segoe UI" w:cs="Times New Roman"/>
      <w:sz w:val="18"/>
      <w:szCs w:val="24"/>
    </w:rPr>
  </w:style>
  <w:style w:type="character" w:styleId="FootnoteReference">
    <w:name w:val="footnote reference"/>
    <w:aliases w:val="-E Fußnotenzeichen,BVI fnr,E,E FNZ,Footnote,Footnote Reference Number,Footnote Reference Superscript,Footnote Refernece,Footnote reference number,Footnote symbol,Footnotes refss,Odwołanie przypisu,Ref,SUPERS,de nota al pie,fr,ftref"/>
    <w:link w:val="CharCharCharChar"/>
    <w:rsid w:val="000812C8"/>
    <w:rPr>
      <w:vertAlign w:val="superscript"/>
    </w:rPr>
  </w:style>
  <w:style w:type="paragraph" w:customStyle="1" w:styleId="CharCharCharChar">
    <w:name w:val="Char Char Char Char"/>
    <w:aliases w:val="Char2"/>
    <w:basedOn w:val="Normal"/>
    <w:next w:val="Normal"/>
    <w:link w:val="FootnoteReference"/>
    <w:rsid w:val="000812C8"/>
    <w:pPr>
      <w:spacing w:before="0" w:after="160" w:line="240" w:lineRule="exact"/>
      <w:jc w:val="both"/>
      <w:textAlignment w:val="baseline"/>
    </w:pPr>
    <w:rPr>
      <w:vertAlign w:val="superscript"/>
    </w:rPr>
  </w:style>
  <w:style w:type="paragraph" w:styleId="Revision">
    <w:name w:val="Revision"/>
    <w:hidden/>
    <w:uiPriority w:val="99"/>
    <w:semiHidden/>
    <w:rsid w:val="008D79CC"/>
    <w:pPr>
      <w:spacing w:after="0" w:line="240" w:lineRule="auto"/>
    </w:pPr>
  </w:style>
  <w:style w:type="character" w:styleId="CommentReference">
    <w:name w:val="annotation reference"/>
    <w:basedOn w:val="DefaultParagraphFont"/>
    <w:uiPriority w:val="99"/>
    <w:semiHidden/>
    <w:unhideWhenUsed/>
    <w:rsid w:val="008D79CC"/>
    <w:rPr>
      <w:sz w:val="16"/>
      <w:szCs w:val="16"/>
    </w:rPr>
  </w:style>
  <w:style w:type="paragraph" w:styleId="CommentText">
    <w:name w:val="annotation text"/>
    <w:basedOn w:val="Normal"/>
    <w:link w:val="CommentTextChar"/>
    <w:uiPriority w:val="99"/>
    <w:unhideWhenUsed/>
    <w:rsid w:val="008D79CC"/>
    <w:rPr>
      <w:sz w:val="20"/>
      <w:szCs w:val="20"/>
    </w:rPr>
  </w:style>
  <w:style w:type="character" w:customStyle="1" w:styleId="CommentTextChar">
    <w:name w:val="Comment Text Char"/>
    <w:basedOn w:val="DefaultParagraphFont"/>
    <w:link w:val="CommentText"/>
    <w:uiPriority w:val="99"/>
    <w:rsid w:val="008D79CC"/>
    <w:rPr>
      <w:sz w:val="20"/>
      <w:szCs w:val="20"/>
    </w:rPr>
  </w:style>
  <w:style w:type="paragraph" w:styleId="CommentSubject">
    <w:name w:val="annotation subject"/>
    <w:basedOn w:val="CommentText"/>
    <w:next w:val="CommentText"/>
    <w:link w:val="CommentSubjectChar"/>
    <w:uiPriority w:val="99"/>
    <w:semiHidden/>
    <w:unhideWhenUsed/>
    <w:rsid w:val="008D79CC"/>
    <w:rPr>
      <w:b/>
      <w:bCs/>
    </w:rPr>
  </w:style>
  <w:style w:type="character" w:customStyle="1" w:styleId="CommentSubjectChar">
    <w:name w:val="Comment Subject Char"/>
    <w:basedOn w:val="CommentTextChar"/>
    <w:link w:val="CommentSubject"/>
    <w:uiPriority w:val="99"/>
    <w:semiHidden/>
    <w:rsid w:val="008D79C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2498</Words>
  <Characters>1424</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vita.vodinska@mk.gov.lv</dc:creator>
  <cp:keywords/>
  <dc:description/>
  <cp:lastModifiedBy>vita.vodinska@mk.gov.lv</cp:lastModifiedBy>
  <cp:revision>3</cp:revision>
  <dcterms:created xsi:type="dcterms:W3CDTF">2022-06-03T09:47:00Z</dcterms:created>
  <dcterms:modified xsi:type="dcterms:W3CDTF">2022-06-03T09:50:00Z</dcterms:modified>
</cp:coreProperties>
</file>