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pasākumā "Akvakultūras krājuma apdrošināšana""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pasākumā "Akvakultūras krājuma apdrošināšana""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2022. gada 19. janvāra Īstenošanas regulu (ES) 2022/79, ar ko nosaka Eiropas Parlamenta un Padomes Regulas (ES) 2021/1139 piemērošanas noteikumus attiecībā uz darbības līmeņa īstenošanas datu reģistrēšanu, nosūtīšanu un izklāstu (turpmāk – regula 2022/79);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2022. gada 29. jūnija Deleģēto regulu (ES) 2022/2181, ar ko Eiropas Parlamenta un Padomes Regulu (ES) 2021/1139 par Eiropas Jūrlietu, zvejniecības un akvakultūras fondu papildina attiecībā uz atbalsta pieteikumu (turpmāk – regula 2022/2181).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piešķir valsts un Eiropas Savienības (turpmāk – ES) atbalstu pasākumā "Akvakultūras krājuma apdrošināšana".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2021. gada 1. janvārī Latvijā sākās jaunais 2021.–2027. gada Eiropas Jūrlietu, zvejniecības un akvakultūras fonda (turpmāk – EJZAF) plānošanas periods, ko regulē regula 2021/1139, regula 2021/1060, regula 2022/79 un regula 2022/2181 (turpmāk visas kopā – atbalsta regulas) un ir atbilstoši izstrādāta Programma zivsaimniecības attīstībai 2021.–2027. gadam, nepieciešams izdot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mazināt akvakultūras nozares ārējos riska faktorus, daļēji sedzot izdevumus par apdrošināšanas prēmiju saskaņā ar regulas  2021/1139 26. panta 1. punkta "a" apakšpunktu. Tas nodrošinātu akvakultūras saimniecību, kas audzē produkciju dīķos, baseinos vai recirkulācijas sistēmās, stabilitāti un dotu tām iespēju attīstīties, kā arī mazinātu finansiālos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akvakultūras produkcijas ražotājiem netiek sniegts atbalsts apdrošināšanas polišu iegādes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pasākuma "Akvakultūras krājuma apdrošināšana" atbalsta saņemšanas nosacījumi, atbalsta pretendenti, publiskā atbalsta apmērs, pieteikšanās kārtība un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2021/1139 10. pantā noteikto, atbalsts, kas tiek piešķirts no EJZAF, nav atsevišķi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regulas noteic vispārējos principus, kas ietverami zivsaimniecības programmās, un tās savukārt tiek apstiprinātas Eiropas Komisijā. Vienkāršošanas princips, kas ieviests ar 2021. gadu, dalībvalstīm dod rīcības brīvību tiktāl, cik tas regulās nav noteikts kā aizliegums vai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atbalsta pasākumu ieviešanas kārtība, iestādes, kas pieņem lēmumus, un kritēriji ir noteikti Ministru kabineta 2023. gada 7. marta noteikumos Nr. 113 "Valsts un Eiropas Savienības atbalsta piešķiršanas, administrēšanas un uzraudzības vispārējā kārtība lauku un zivsaimniecības attīstībai", tostarp saistībā ar valsts un Eiropas Savienības atbalsta piešķiršanu, administrēšanu un uzraudzību zivsaimniecības attīstībai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institūcijām ir Uzraudzības komiteja, kas izveidota, lai pieņemtu ar atbalstiem saistītus lēmumus. Uzraudzības komitejas pieņemtie lēmumi, kā arī apstiprinātie projektu atlases kritēriji atbalsta pasākumiem skatāmi šeit: https://www.zm.gov.lv/lv/uzraudzibas-komitejas-lemumi.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2021/1139 12. pants attiecas uz dalītā pārvaldībā īstenotu EJZAF atbalsta attiecināmību. Dalītā pārvaldība nozīmē to, ka par konkrētas programmas īstenošanu atbild gan Eiropas Komisija, gan dalībvalstu iestādes, t. i., ministrijas un publiskā sektora iestādes, tāpēc tika sagatavota un Eiropas Komisijā iesniegta un 2023. gada 5. decembrī apstiprināta Latvijas programma zivsaimniecības attīstībai 2021.–2027. gadam, kura atbilst visiem pārējiem saistošiem ES tiesību aktiem un politikas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ka polises atbilst Latvijā noteiktajiem normatīvajiem aktiem apdrošināšanas jomā, noteikumu projektā jānosaka prasības apdrošināšanas pakalpojumu sniedzējiem, no kuriem atbalsta pretendents pērk apdrošināšanas polisi.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noteikts, ka apdrošināšanas pakalpojuma sniedzējam vai nu ir licence apdrošināšanas pakalpojumu sniegšanai, vai arī tas ir publicēts apdrošināšanas starpnieku sarakstā (apdrošināšanas brokeris). Paredzēta vēl trešā iespēja, ka pakalpojumus sniedz ar iepriekšminētajiem pakalpojumu sniedzējiem saistīts uzņēmums.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jāiekļauj nosacījumi attiecībā uz atbalsta pretendentu.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4. un 5. punktā iekļauti nosacījumi, kuriem jāatbilst, lai varētu pretendēt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pretendents varētu saņemt atbalstu, tam ir jāiegādājas apdrošināšanas polise. Noteikumu projekta 7. punktā noteikts, ka viens risks apdrošināšanas periodā apdrošināms pie viena apdrošinātāja, lai apdrošinātie riskas faktori nepārklātos un atbalsta finansējums būtu izmantots efektīvi.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prasības attiecībā uz apdrošināšanas polisi un atbalsta intensitāti.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9.1. apakšpunktā noteikts, ka attiecināmās izmaksas ir par apdrošināšanas polisi, kas sedz tādus riska faktorus kā nelabvēlīgi klimatiskie apstākļi, dabas katastrofas, uguns, akvakultūras slimība, izņemot slimības, kas minētas normatīvajos aktos par valsts uzraudzībā esošās dzīvnieku infekcijas slimības vai epizootijas uzliesmojuma laikā radušos zaudējumu kompensāciju, pēkšņas ūdens kvalitātes un kvantitātes pārmaiņas, par kurām pretendents nav atbildīgs, un ražošanas iekārtu darbības traucējumi vai iznīcināšana, par ko pretendents nav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noteikts, ka atbalstāma ir tikai tā apdrošināšanas prēmijas daļa, kas paredz kompensāciju situācijā, kad zaudējumi veido vismaz 20 procentu no vidējiem ieņēmumiem no akvakultūras produkcijas pārdošanas iepriekšējos trijos kalendāra gados (noteikumu projekta 9.2. apakšpunkts). Ja pretendents vēlas apdrošināt mazākus zaudējumus, viņš šo polises izdevumu daļu apmaksā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ietverti nosacījumi attiecībā uz atlīdzības limitu un pašrisku (9.3. un 9.4. apakšpunkts), lai apdrošināšanas pakalpojumu sniedzēji un lauksaimnieki nerīkotos negodīgi un nenoteiktu polisēs zemus atlīdzību limitus un mainīgu pašrisku katrā nākamajā atlīdzības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projektā noteikts, ka atbalsta intensitāte ir 60 procentu no apdrošināšanas prēmijas jeb polises iegādes izdevumiem (noteikumu projekta 12. punkts), jo to pieļauj regulas 2021/1139 41. pants. Šos 60 procentus rēķina tikai no atbalstāmajiem riska faktoriem un tikai no tās prēmijas daļas, kas samaksāta par zaudējumiem, kuri pārsniedz 20 procentus no vidējiem ieņēmumiem.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jāiekļauj nosacījumi attiecībā uz apdrošināšanas prēmiju un tās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10. punktā noteikts, ka tā prēmijas daļa, par kuru nepienākas atbalsts, apdrošināšanas polisē ir jānodala. Lauku atbalsta dienests vērtē, vai prēmijas sadalījums ir samērīgs attiecībā pret apdrošinātajiem riska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pretendents par apdrošināšanas polisi, tāpat kā līdz šim, var maksāt vienā vai vairākos maksājumos atkarībā no tā, kā viņam ir ērtāk. Ja tas tiek darīts vairākos maksājumos, jāņem vērā, ka par polisi pilnībā ir jāsamaksā līdz attiecīgās iesniegumu iesniegšanas kārtas beigām (noteikumu projekta 11.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jānosaka iesniegumu iesniegšanas un atbalsta piešķiršanas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pretendents iesniegumu atbalsta saņemšanai iesniedz Lauku atbalsta dienesta elektroniskās pieteikšanās sistēmā (noteikumu projekta 13. punkts), pēc iespējas detalizēti norādot informāciju par apdrošināšanas polisi – apdrošināto akvakultūras krājumu, apdrošinātos riska faktorus, kopējo apdrošināšanas prēmijas apmēru un attiecināmās izmaksas, kā arī apdrošināšanas periodu. Lai varētu analizēt informāciju par būtiskākajiem riska faktoriem, par kuriem atbalsta pretendenti saņēmuši atlīdzības, reizē ar atbalsta iesniegumu būs jānorāda arī informācija par saņemto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13.2. un 13.3. apakšpunkts paredz, ka atbalsta pretendents iesniegumam pievieno apdrošināšanas polisi un maksājumu dokumentus, kā arī citus dokumentus saistībā ar atlīdzības limitu un pašrisku. Apdrošināšanas polisei ir jābūt spēkā kārtējā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atbalsta dienestam ir tiesības prasīt no atbalsta pretendenta vai apdrošināšanas pakalpojuma sniedzēja skaidrojumu, ja ir aizdomas, ka polise ir ekonomiski nepamatota vai neatbilst apdrošināšanas mērķim (noteikumu projekta 14. punkts). Situācijas, kad pieprasāms skaidrojums, var būt ļoti dažādas, piemēram, polise ir salīdzinoši dārga vai, tieši pretēji, par dažiem riska faktoriem polisē ir ļoti maza apdrošināšanas prēmija, kādam apdrošinātajam riskam konkrētajā gadalaikā nav iespēja iestāties u. 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praksē var būt gadījumi, kad apdrošināšanas līgumi tiek grozīti un apdrošinātājs apdrošināšanas prēmiju vai tās daļu atdod atbalsta saņēmējam, ir nepieciešams noteikumos paredzēt rīcību šādās situācijās.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noteikts, ka atbalsta saņēmējs piecu darbdienu laikā informē Lauku atbalsta dienestu, ja apdrošināšanas līgums ir grozīts vai izbeigts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noteikts, ka apdrošināšanas pakalpojumu sniedzējs pēc Lauku atbalsta dienesta pieprasījuma sniedz informāciju par apdrošināšanas līgumu, tostarp par grozījumiem apdrošināšanas līgumā vai līguma izbeigšanu pirms termiņa. Lauku atbalsta dienests attiecīgi pārrēķina atbalsta summu vai pieprasa atbalsta saņēmējam atmaksāt piešķirto atbalstu vai tā daļu (noteikumu projekta 17. punkts). Tādējādi ir nodrošināts, ka atbalsta saņēmējs saņem tikai tik lielu atbalstu daļu, kāda viņam pienākas.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veterinārajā dienestā reģistrēti vai atzīti akvakultūras nozares uzņēmumi – komersanti, zemnieku vai zvejnieku saimniecības, kas audzē akvakultūras produkciju pārdošanai, valsts zinātniskais institūts, kas īsteno valsts politiku zivju krājumu atražošanas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veterinārajā dienestā reģistrēti vai atzīti akvakultūras nozares uzņēmumi – komersanti, zemnieku vai zvejnieku saimniecības, kas audzē akvakultūras produkciju pārdošanai, valsts zinātniskais institūts, kas īsteno valsts politiku zivju krājumu atražošanas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veidojas tad, ja atbalsta pretendents izvēlas iesniegt projekta iesniegumu.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EJZAF Programmu zivsaimniecības attīstībai 2021.–2027. gadam pasākumā "Akvakultūras krājuma apdrošināšana" līdz 2029. gadam kopējais pieejamais finansējums ir 3 000 000 </w:t>
            </w:r>
            <w:r w:rsidR="00000000" w:rsidRPr="00000000" w:rsidDel="00000000">
              <w:rPr>
                <w:sz w:val="24"/>
                <w:i w:val="1"/>
                <w:rtl w:val="0"/>
              </w:rPr>
              <w:t xml:space="preserve">euro</w:t>
            </w:r>
            <w:r w:rsidR="00000000" w:rsidRPr="00000000" w:rsidDel="00000000">
              <w:rPr>
                <w:sz w:val="24"/>
                <w:rtl w:val="0"/>
              </w:rPr>
              <w:t xml:space="preserve">, t. sk. EJZAF finansējums (70 %) 2 100 000 </w:t>
            </w:r>
            <w:r w:rsidR="00000000" w:rsidRPr="00000000" w:rsidDel="00000000">
              <w:rPr>
                <w:sz w:val="24"/>
                <w:i w:val="1"/>
                <w:rtl w:val="0"/>
              </w:rPr>
              <w:t xml:space="preserve">euro</w:t>
            </w:r>
            <w:r w:rsidR="00000000" w:rsidRPr="00000000" w:rsidDel="00000000">
              <w:rPr>
                <w:sz w:val="24"/>
                <w:rtl w:val="0"/>
              </w:rPr>
              <w:t xml:space="preserve"> un valsts budžeta finansējums (30 %) 900 000 </w:t>
            </w:r>
            <w:r w:rsidR="00000000" w:rsidRPr="00000000" w:rsidDel="00000000">
              <w:rPr>
                <w:sz w:val="24"/>
                <w:i w:val="1"/>
                <w:rtl w:val="0"/>
              </w:rPr>
              <w:t xml:space="preserve">euro</w:t>
            </w:r>
            <w:r w:rsidR="00000000" w:rsidRPr="00000000" w:rsidDel="00000000">
              <w:rPr>
                <w:sz w:val="24"/>
                <w:rtl w:val="0"/>
              </w:rPr>
              <w:t xml:space="preserve">, ko plānots sadalīt vienādās daļās pa visiem sešiem uz atbalstu attiecināmajiem gadiem. Pasākums paredzēts, lai īstenotu 2. prioritātes "Veicināt ilgtspējīgas akvakultūras darbības un zvejas un akvakultūras produktu apstrādi un tirdzniecību, tādējādi sekmējot pārtikas nodrošinājumu Savienībā" mērķi, t. i., ilgtspējīgu akvakultūras darbību veicināšana, jo īpaši akvakultūras ražošanas konkurētspējas stiprināšana, vienlaikus nodrošinot, ka darbības ilgtermiņā ir ekoloģiski ilgtspējīgas.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66.10.00. "Maksājumu iestādes izdevumi Eiropas Jūrlietu, zvejniecības un akvakultūras fonda (EJZAF) projektu un pasākumu īstenošanai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Zemkopības ministrija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32022R0079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dalībvalsts rīcības brīvību.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instrukcijai Nr. 1 "Kārtība, kādā valsts pārvaldes iestādes sniedz informāciju par tehnisko noteikumu projektu" 4.1. apakšpunktu.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Akvakultūras nozares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https://tapportals.mk.gov.lv/public_participation/c779c793-9a85-423b-a755-07cb66ef3087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projekta virzīšanas publiskai apspriešanai tas tika nosūtīts akvakultūras nozares nevalstiskajām organizācijām un akvakultūras uzņēmumiem. 2024. gada 8. maijā tika organizēta tiešsaistes diskusija, lai uzklausītu priekšlikumi par sagatavoto noteikumu projektu, un tie tika ņemti vērā, atbilstoši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saņemtajiem biedrības "Latvijas Apdrošinātāju asociācija" priekšlikumiem 2024. gada 2. jūlijā tika organizēta tiešsaistes diskusija, sniedzot skaidrojumus, un pēc tam tika papildināta noteikumu projekta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zivsaimniecības attīstībai 2021.–2027. gadam Uzraudzības komiteja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iesaistīto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institūcijas nav jāveido, un esošās institūcijas nav jāreorganizē.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likumā ir noteiktas funkcijas, kas dienestam ir jāpilda savas kompetences jomā, tostarp jāadministrē valsts atbalsts un Eiropas Savienības atbalsts laukiem, lauksaimniecībai, mežsaimniecībai un zivsaimniecībai – jāpieņem un jāizvērtē iesniegumi (projekti) atbalsta saņemšanai, jāpieņem lēmumi par finansējuma piešķiršanu vai atteikumu to piešķirt, jālemj par atbalsta izmaksu vai atteikumu to izmaksāt un jāveic izmaksātā atbalsta uzskaite un izlietošanas kontrole.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24-TA-1095</w:t>
    </w:r>
    <w:r>
      <w:br/>
    </w:r>
    <w:r w:rsidR="00000000" w:rsidRPr="00000000" w:rsidDel="00000000">
      <w:rPr>
        <w:rtl w:val="0"/>
      </w:rPr>
      <w:t xml:space="preserve">Izdrukāts 29.07.2026. 21.28 - 3.0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24-TA-1095</w:t>
    </w:r>
    <w:r>
      <w:br/>
    </w:r>
    <w:r w:rsidR="00000000" w:rsidRPr="00000000" w:rsidDel="00000000">
      <w:rPr>
        <w:rtl w:val="0"/>
      </w:rPr>
      <w:t xml:space="preserve">Izdrukāts 29.07.2026. 21.28 - 3.0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anotācija_(ex_ante)_24-TA-1095.docx</dc:title>
</cp:coreProperties>
</file>

<file path=docProps/custom.xml><?xml version="1.0" encoding="utf-8"?>
<Properties xmlns="http://schemas.openxmlformats.org/officeDocument/2006/custom-properties" xmlns:vt="http://schemas.openxmlformats.org/officeDocument/2006/docPropsVTypes"/>
</file>