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decembra noteikumos Nr. 582 "Kārtība, kādā īsteno valsts atbalsta programmu par aizdevumu piešķiršanu apgrozāmo līdzekļu iegādei lauksaimniecības, mežsaimniecības, zvejniecības un akvakultūras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2019. gada 3. decembra noteikumos Nr. 582 "Kārtība, kādā īsteno valsts atbalsta programmu par aizdevumu piešķiršanu apgrozāmo līdzekļu iegādei lauksaimniecības, mežsaimniecības, zvejniecības un akvakultūras nozarē"" sagatavots, pamatojoties uz Attīstības finanšu institūcijas likuma 12. panta ceturto daļu un Lauksaimniecības un lauku attīstības likuma 5.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kārtību, kādā piešķir valsts un Eiropas Savienības atbalstu primārās lauksaimniecības produkcijas ražotājiem Kopējās lauksaimniecības politikas stratēģiskā plāna 2023.–2027. gadam (turpmāk – KLP SP) intervencē "Aizdevumi apgrozāmo līdzekļu iegādei".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decembra noteikumi Nr. 582 "Kārtība, kādā īsteno valsts atbalsta programmu par aizdevumu piešķiršanu apgrozāmo līdzekļu iegādei lauksaimniecības, mežsaimniecības, zvejniecības un akvakultūras nozarē" (turpmāk – noteikumi Nr.582) nosaka kārtību, kādā attīstības finanšu institūcija “Altum” (turpmāk – sabiedrība "Altum") piešķir valsts atbalstu aizdevumu veidā apgrozāmo līdzekļu iegādei minētajās nozarēs, lai nodrošinātu tiem apgrozāmo līdzekļu finansējumu, sekmētu lauksaimnieciskās ražošanas un uzņēmējdarbības nepārtrauktību, kā arī mazinātu ārējo apstākļu (piemēram, ražošanas resursu cenu kāpums, tirgus svārstības, klimatiskie riski u.c.) negatīvo ietekmi uz uzņēmumu darbību. Atbalsts tiek piešķirts </w:t>
      </w:r>
      <w:r w:rsidR="00000000" w:rsidRPr="00000000" w:rsidDel="00000000">
        <w:rPr>
          <w:i w:val="1"/>
          <w:rtl w:val="0"/>
        </w:rPr>
        <w:t xml:space="preserve">de minimis</w:t>
      </w:r>
      <w:r w:rsidR="00000000" w:rsidRPr="00000000" w:rsidDel="00000000">
        <w:rPr>
          <w:rtl w:val="0"/>
        </w:rPr>
        <w:t xml:space="preserve"> atbalsta veidā, ievērojot attiecīgos Eiropas Savienības tiesību aktus par d</w:t>
      </w:r>
      <w:r w:rsidR="00000000" w:rsidRPr="00000000" w:rsidDel="00000000">
        <w:rPr>
          <w:i w:val="1"/>
          <w:rtl w:val="0"/>
        </w:rPr>
        <w:t xml:space="preserve">e</w:t>
      </w:r>
      <w:r w:rsidR="00000000" w:rsidRPr="00000000" w:rsidDel="00000000">
        <w:rPr>
          <w:i w:val="1"/>
          <w:rtl w:val="0"/>
        </w:rPr>
        <w:t xml:space="preserve"> minimis</w:t>
      </w:r>
      <w:r w:rsidR="00000000" w:rsidRPr="00000000" w:rsidDel="00000000">
        <w:rPr>
          <w:rtl w:val="0"/>
        </w:rPr>
        <w:t xml:space="preserve"> atbalsta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nozare pēdējos gados ir saskārusies ar būtiskiem izaicinājumiem – ražošanas resursu izmaksas strauji pieaug, ievērojami pārsniedzot saražotās produkcijas cenu kāpumu. Vienlaikus klimata pārmaiņu radītie riski būtiski ietekmē saimniecību ekonomisko stabilitāti un dzīvotspēju, kā rezultātā palielinās nepieciešamība pēc papildu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primāro ražotāju piekļuvi apgrozāmajiem līdzekļiem, tiek ieviesta valsts un Eiropas savienības intervence “Aizdevumi apgrozāmo 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 paredz 3 000 000 </w:t>
      </w:r>
      <w:r w:rsidR="00000000" w:rsidRPr="00000000" w:rsidDel="00000000">
        <w:rPr>
          <w:i w:val="1"/>
          <w:rtl w:val="0"/>
        </w:rPr>
        <w:t xml:space="preserve">euro</w:t>
      </w:r>
      <w:r w:rsidR="00000000" w:rsidRPr="00000000" w:rsidDel="00000000">
        <w:rPr>
          <w:rtl w:val="0"/>
        </w:rPr>
        <w:t xml:space="preserve"> piešķiršanu no Eiropas Lauksaimniecības fonda lauku attīstībai (turpmāk – ELFLA) KLP SP 2023–2027 ietvaros, papildinot jau esošo valsts atbalsta programmu aizdevumu piešķiršanai apgrozāmo līdzekļu iegādei lauksaimniecības, mežsaimniecības, zvejniecības un akvakultūras nozarē, tostarp izmantojot arī līdzekļus no iepriekšējo aizdevumu atmaksām. Programma turpinās darboties saskaņā ar KLP SP nosacījumiem, apvienojot valsts un ELFLA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Aizdevumus turpinās izsniegt sabiedrība ''Altum” ar iespējami zemāko procentu likmi. Finansējumam, kas piešķirts primārajiem lauksaimniecības produkcijas ražotājiem saskaņā ar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fonda lauku attīstībai (ELFLA), un ar ko atceļ Regulas (ES) Nr. 1305/2013 un (ES) Nr. 1307/2013 (turpmāk – Regula 2021/2115) nosacījumiem, </w:t>
      </w:r>
      <w:r w:rsidR="00000000" w:rsidRPr="00000000" w:rsidDel="00000000">
        <w:rPr>
          <w:i w:val="1"/>
          <w:rtl w:val="0"/>
        </w:rPr>
        <w:t xml:space="preserve">de minimis</w:t>
      </w:r>
      <w:r w:rsidR="00000000" w:rsidRPr="00000000" w:rsidDel="00000000">
        <w:rPr>
          <w:rtl w:val="0"/>
        </w:rPr>
        <w:t xml:space="preserve"> regulējums neattieksies, tādējādi samazinot administratīvo slogu atbilstošajiem primārajiem ražotājiem.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noteikumos Nr. 582: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Papildināts noteikumu nosaukums, ietverot atsauci uz Eiropas Savienības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papildināts ar atsauci uz KLP stratēģiskā plāna intervenci “Aizdevumi apgrozāmo 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Izveidots jauns 2.1.1. apakšpunkts, kurā noteikts, ka primārajiem lauksaimniecības produkcijas ražotājiem aizdevumi izsniedzami saskaņā ar Regulu 2021/2115, kā arī Ministru kabineta 2024. gada 24. oktobra noteikumiem Nr. 687 "Valsts un Eiropas Savienības atbalsta piešķiršanas vispārējā kārtība lauku attīstībai finanšu instrumentu veidā 2023.–2027. gadam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Izveidots jauns 2.1.2. apakšpunkts, kurā paredzēts, ka gadījumos, kad aizdevumu nav iespējams piešķirt atbilstoši Regulai 2021/2115, to var izsniegt kā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2.2., 2.3. un 2.4. apakšpunkti papildināti ar atsaucēm uz </w:t>
      </w:r>
      <w:r w:rsidR="00000000" w:rsidRPr="00000000" w:rsidDel="00000000">
        <w:rPr>
          <w:i w:val="1"/>
          <w:rtl w:val="0"/>
        </w:rPr>
        <w:t xml:space="preserve">de minimis</w:t>
      </w:r>
      <w:r w:rsidR="00000000" w:rsidRPr="00000000" w:rsidDel="00000000">
        <w:rPr>
          <w:rtl w:val="0"/>
        </w:rPr>
        <w:t xml:space="preserve"> regulām, kas piemērojamas atbalsta piešķiršanai zvejniecības un akvakultūras produkcijas ražotājiem un apstrādātājiem, atbilstīgām kooperatīvajām sabiedrībām un ražotāju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5.1. apakšpunkts papildināts, nosakot, ka finansējums no valsts kredītlīnijas paredzēts atbilstīgām kooperatīvajām sabiedrībām, ražotāju organizācijām, kā arī zvejniecības un akvakultūras produkcijas ražotājiem un apstrādātājiem.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Papildināts, ka 5.2., 5.3., 5.5. un 5.6. apakšpunktos minētais finansējums piešķirams primārajiem lauksaimniecības produkcijas ražotājiem atbilstoši Regulai 2021/2115, tostarp 5.6. apakšpunktā noteikts, ka arī 3 000 000 </w:t>
      </w:r>
      <w:r w:rsidR="00000000" w:rsidRPr="00000000" w:rsidDel="00000000">
        <w:rPr>
          <w:i w:val="1"/>
          <w:rtl w:val="0"/>
        </w:rPr>
        <w:t xml:space="preserve">euro</w:t>
      </w:r>
      <w:r w:rsidR="00000000" w:rsidRPr="00000000" w:rsidDel="00000000">
        <w:rPr>
          <w:rtl w:val="0"/>
        </w:rPr>
        <w:t xml:space="preserve"> no Eiropas Lauksaimniecības fonda lauku attīstībai tiek izmantoti šiem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5¹. punkts papildināts, nosakot, ka 5.2.–5.6. apakšpunktos paredzēto finansējumu un tā atmaksu izmanto pārvaldības maksas segšanai, ievērojot attiecīgās robežvērtības.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Tehniski precizēti 12. punkts, 13.2. apakšpunkts un 15. punkts, nodrošinot to atbilstību </w:t>
      </w:r>
      <w:r w:rsidR="00000000" w:rsidRPr="00000000" w:rsidDel="00000000">
        <w:rPr>
          <w:i w:val="1"/>
          <w:rtl w:val="0"/>
        </w:rPr>
        <w:t xml:space="preserve">de minimis</w:t>
      </w:r>
      <w:r w:rsidR="00000000" w:rsidRPr="00000000" w:rsidDel="00000000">
        <w:rPr>
          <w:rtl w:val="0"/>
        </w:rPr>
        <w:t xml:space="preserve">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Noteikumi papildināti ar jaunu 18.¹ punktu, kurā noteikts, ka atbalsta kopējais apmērs, piešķirot to saskaņā ar Regulu 2021/2115, nedrīkst pārsniegt 200 000 </w:t>
      </w:r>
      <w:r w:rsidR="00000000" w:rsidRPr="00000000" w:rsidDel="00000000">
        <w:rPr>
          <w:i w:val="1"/>
          <w:rtl w:val="0"/>
        </w:rPr>
        <w:t xml:space="preserve">euro</w:t>
      </w:r>
      <w:r w:rsidR="00000000" w:rsidRPr="00000000" w:rsidDel="00000000">
        <w:rPr>
          <w:rtl w:val="0"/>
        </w:rPr>
        <w:t xml:space="preserve"> trīs fiskālo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22. punkts ir papildināts, nosakot, ka aizdevumiem, kas izsniegti saskaņā ar Regulu 2021/2115, aizdevuma un restrukturizācijas termiņš ir 2029.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Iekļauts jauns 22.¹ punkts, nosakot prasību sabiedrībai "Altum"par atsevišķu finansējuma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 pieeju apgrozāmajiem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Nodots sabiedriskai apspriešanai 2025.gada 23.aprīlī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25-TA-798</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25-TA-798</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anotācija_(ex_ante)_25-TA-798.docx</dc:title>
</cp:coreProperties>
</file>

<file path=docProps/custom.xml><?xml version="1.0" encoding="utf-8"?>
<Properties xmlns="http://schemas.openxmlformats.org/officeDocument/2006/custom-properties" xmlns:vt="http://schemas.openxmlformats.org/officeDocument/2006/docPropsVTypes"/>
</file>