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D53781" w14:textId="769C5615" w:rsidR="00F46E58" w:rsidRDefault="00750E81">
      <w:pPr>
        <w:spacing w:after="240"/>
        <w:jc w:val="center"/>
        <w:rPr>
          <w:b/>
        </w:rPr>
      </w:pPr>
      <w:r>
        <w:rPr>
          <w:b/>
        </w:rPr>
        <w:t xml:space="preserve">Publiskās apspriešanas laikā 02.07.2025. - 16.07.2025. saņemto viedokļu, priekšlikumu un iebildumu apkopojums par </w:t>
      </w:r>
      <w:r w:rsidR="00BE3BAD">
        <w:rPr>
          <w:b/>
        </w:rPr>
        <w:t>likumprojektu “</w:t>
      </w:r>
      <w:r>
        <w:rPr>
          <w:b/>
        </w:rPr>
        <w:t>Grozījumi Atkritumu apsaimniekošanas likumā”</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F46E58" w14:paraId="037E1CAA" w14:textId="77777777">
        <w:tc>
          <w:tcPr>
            <w:tcW w:w="750" w:type="dxa"/>
            <w:shd w:val="clear" w:color="auto" w:fill="FFFFFF"/>
            <w:noWrap/>
            <w:tcMar>
              <w:top w:w="75" w:type="dxa"/>
              <w:left w:w="75" w:type="dxa"/>
              <w:bottom w:w="75" w:type="dxa"/>
              <w:right w:w="75" w:type="dxa"/>
            </w:tcMar>
            <w:vAlign w:val="center"/>
          </w:tcPr>
          <w:p w14:paraId="1BBF4AD3" w14:textId="77777777" w:rsidR="00F46E58" w:rsidRDefault="00750E81">
            <w:pPr>
              <w:jc w:val="center"/>
            </w:pPr>
            <w:r>
              <w:rPr>
                <w:b/>
              </w:rPr>
              <w:t>Nr.p.k.</w:t>
            </w:r>
          </w:p>
        </w:tc>
        <w:tc>
          <w:tcPr>
            <w:tcW w:w="4055" w:type="dxa"/>
            <w:shd w:val="clear" w:color="auto" w:fill="FFFFFF"/>
            <w:noWrap/>
            <w:tcMar>
              <w:top w:w="75" w:type="dxa"/>
              <w:left w:w="75" w:type="dxa"/>
              <w:bottom w:w="75" w:type="dxa"/>
              <w:right w:w="75" w:type="dxa"/>
            </w:tcMar>
            <w:vAlign w:val="center"/>
          </w:tcPr>
          <w:p w14:paraId="14A636FA" w14:textId="77777777" w:rsidR="00F46E58" w:rsidRDefault="00750E81">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4797E2BF" w14:textId="77777777" w:rsidR="00F46E58" w:rsidRDefault="00750E81">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28E28FA2" w14:textId="77777777" w:rsidR="00F46E58" w:rsidRDefault="00750E81">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16ACEFF4" w14:textId="77777777" w:rsidR="00F46E58" w:rsidRDefault="00750E81">
            <w:pPr>
              <w:jc w:val="center"/>
            </w:pPr>
            <w:r>
              <w:rPr>
                <w:b/>
              </w:rPr>
              <w:t>Skaidrojums, kādā veidā viedoklis / priekšlikums / iebildums ir ņemts vērā vai ņemts vērā daļēji, vai pamatojums, ja viedoklis / priekšlikums / iebildums nav ņemts vērā</w:t>
            </w:r>
          </w:p>
        </w:tc>
      </w:tr>
      <w:tr w:rsidR="00F46E58" w14:paraId="7481359A" w14:textId="77777777" w:rsidTr="00A7514A">
        <w:tc>
          <w:tcPr>
            <w:tcW w:w="750" w:type="dxa"/>
            <w:shd w:val="clear" w:color="auto" w:fill="FFFFFF"/>
            <w:noWrap/>
            <w:tcMar>
              <w:top w:w="75" w:type="dxa"/>
              <w:left w:w="75" w:type="dxa"/>
              <w:bottom w:w="75" w:type="dxa"/>
              <w:right w:w="75" w:type="dxa"/>
            </w:tcMar>
            <w:vAlign w:val="center"/>
          </w:tcPr>
          <w:p w14:paraId="181E6201" w14:textId="77777777" w:rsidR="00F46E58" w:rsidRDefault="00750E81" w:rsidP="00750E81">
            <w:r>
              <w:t>1.</w:t>
            </w:r>
          </w:p>
        </w:tc>
        <w:tc>
          <w:tcPr>
            <w:tcW w:w="4055" w:type="dxa"/>
            <w:shd w:val="clear" w:color="auto" w:fill="FFFFFF"/>
            <w:noWrap/>
            <w:tcMar>
              <w:top w:w="75" w:type="dxa"/>
              <w:left w:w="75" w:type="dxa"/>
              <w:bottom w:w="75" w:type="dxa"/>
              <w:right w:w="75" w:type="dxa"/>
            </w:tcMar>
            <w:vAlign w:val="center"/>
          </w:tcPr>
          <w:p w14:paraId="60A27556" w14:textId="77777777" w:rsidR="00F46E58" w:rsidRDefault="00750E81" w:rsidP="00750E81">
            <w:r>
              <w:t>Latvijas Elektrotehnikas un elektronikas rūpniecības asociācija, Inese Berga</w:t>
            </w:r>
          </w:p>
        </w:tc>
        <w:tc>
          <w:tcPr>
            <w:tcW w:w="4056" w:type="dxa"/>
            <w:shd w:val="clear" w:color="auto" w:fill="FFFFFF"/>
            <w:noWrap/>
            <w:tcMar>
              <w:top w:w="75" w:type="dxa"/>
              <w:left w:w="75" w:type="dxa"/>
              <w:bottom w:w="75" w:type="dxa"/>
              <w:right w:w="75" w:type="dxa"/>
            </w:tcMar>
            <w:vAlign w:val="center"/>
          </w:tcPr>
          <w:p w14:paraId="537C4E31" w14:textId="77777777" w:rsidR="00F46E58" w:rsidRDefault="00750E81" w:rsidP="00750E81">
            <w:r>
              <w:rPr>
                <w:b/>
              </w:rPr>
              <w:t>Šobrīd Atkritumu apsaimniekošanas likumā:</w:t>
            </w:r>
            <w:r>
              <w:br/>
              <w:t>24.panta punkts (1</w:t>
            </w:r>
            <w:r>
              <w:rPr>
                <w:vertAlign w:val="superscript"/>
              </w:rPr>
              <w:t>1</w:t>
            </w:r>
            <w:r>
              <w:t>)</w:t>
            </w:r>
            <w:r>
              <w:br/>
              <w:t xml:space="preserve">Ārvalstu elektrisko un elektronisko iekārtu ražotāji drīkst rakstveidā pilnvarot personu, kas veic komercdarbību Latvijā, pārņemt attiecīgā ārvalstu elektrisko un elektronisko iekārtu ražotāja saistības Latvijā attiecībā uz šajā likumā noteikto elektrisko un elektronisko iekārtu atkritumu apsaimniekošanas prasību izpildi. Latvijā reģistrēts elektrisko un elektronisko iekārtu ražotājs, kurš veic komercdarbību Latvijā un, izmantojot distances līgumu, </w:t>
            </w:r>
            <w:r>
              <w:lastRenderedPageBreak/>
              <w:t>pārdod elektriskās un elektroniskās iekārtas citā Eiropas Savienības dalībvalstī, kur tas neveic komercdarbību, rakstveidā pilnvaro personu, kas ir reģistrēta attiecīgajā Eiropas Savienības dalībvalstī, pārņemt elektrisko un elektronisko iekārtu ražotāja saistības attiecīgajā Eiropas Savienības dalībvalstī attiecībā uz elektrisko un elektronisko iekārtu atkritumu apsaimniekošanu.</w:t>
            </w:r>
            <w:r>
              <w:br/>
            </w:r>
            <w:r>
              <w:br/>
            </w:r>
            <w:r>
              <w:rPr>
                <w:b/>
              </w:rPr>
              <w:t>Nepieciešamās izmaiņas un to pamatojums:</w:t>
            </w:r>
            <w:r>
              <w:br/>
              <w:t>Saskaņā ar Atkritumu apsaimniekošanas likuma 24.panta punktu (1</w:t>
            </w:r>
            <w:r>
              <w:rPr>
                <w:vertAlign w:val="superscript"/>
              </w:rPr>
              <w:t>1</w:t>
            </w:r>
            <w:r>
              <w:t xml:space="preserve">) Ārvalstu elektrisko un elektronisko iekārtu ražotāji </w:t>
            </w:r>
            <w:r>
              <w:rPr>
                <w:b/>
              </w:rPr>
              <w:t xml:space="preserve">drīkst rakstveidā </w:t>
            </w:r>
            <w:r>
              <w:t xml:space="preserve">pilnvarot personu. Nav atsevišķi izdalīts, ka distances tirgotājiem no citas valsts </w:t>
            </w:r>
            <w:r>
              <w:rPr>
                <w:b/>
              </w:rPr>
              <w:t xml:space="preserve">jāieceļ </w:t>
            </w:r>
            <w:r>
              <w:t>pilnvarotais pārstāvis, kā tas ir direktīvā 2012/19/ES.</w:t>
            </w:r>
            <w:r>
              <w:br/>
              <w:t xml:space="preserve">Pants par pilnvarotā pārstāvja iecelšanu jāpapildina tā, lai izpildītos direktīvas 2012/19/ES 16. panta 1. punkts un 17. panta 2. </w:t>
            </w:r>
            <w:r>
              <w:lastRenderedPageBreak/>
              <w:t>punkts.</w:t>
            </w:r>
            <w:r>
              <w:br/>
              <w:t>Saskaņā ar Eiropas parlamenta un padomes direktīvas 2012/19/ES 16. panta 1. punktu un 17. pantu:</w:t>
            </w:r>
            <w:r>
              <w:br/>
              <w:t xml:space="preserve">3. panta 1. punkta f) apakšpunkta i līdz iii) punktos definētais ražotājs izņēmuma kārtā </w:t>
            </w:r>
            <w:r>
              <w:rPr>
                <w:b/>
              </w:rPr>
              <w:t>drīkst iecelt</w:t>
            </w:r>
            <w:r>
              <w:t xml:space="preserve"> pilnvaroto pārstāvi citā dalībvalstī;</w:t>
            </w:r>
            <w:r>
              <w:br/>
              <w:t>savukārt, 3. panta 1. punkta f) apakšpunkta iv) punktā definētais ražotājs</w:t>
            </w:r>
            <w:r>
              <w:rPr>
                <w:b/>
              </w:rPr>
              <w:t xml:space="preserve"> ieceļ pilnvaroto pārstāvi</w:t>
            </w:r>
            <w:r>
              <w:t xml:space="preserve"> citā dalībvalstī.</w:t>
            </w:r>
            <w:r>
              <w:br/>
            </w:r>
            <w:r>
              <w:br/>
            </w:r>
            <w:r>
              <w:rPr>
                <w:b/>
              </w:rPr>
              <w:t>Piedāvātā redakcija:</w:t>
            </w:r>
            <w:r>
              <w:br/>
              <w:t>Izteikt 24.panta punktu (1</w:t>
            </w:r>
            <w:r>
              <w:rPr>
                <w:vertAlign w:val="superscript"/>
              </w:rPr>
              <w:t>1</w:t>
            </w:r>
            <w:r>
              <w:t>) šādā redakcijā:</w:t>
            </w:r>
            <w:r>
              <w:br/>
            </w:r>
            <w:r>
              <w:br/>
              <w:t>"24.panta punkts (1</w:t>
            </w:r>
            <w:r>
              <w:rPr>
                <w:vertAlign w:val="superscript"/>
              </w:rPr>
              <w:t>1</w:t>
            </w:r>
            <w:r>
              <w:t>) Pārstāvja pilnvarošana:</w:t>
            </w:r>
            <w:r>
              <w:br/>
              <w:t xml:space="preserve">1) Ārvalstu elektrisko un elektronisko iekārtu ražotāji, kas veic uzņēmējdarbību citā valstī un pārdod elektriskās un elektroniskās iekārtas Latvijā, izmantojot distances līgumu, rakstveidā pilnvaro personu, kas veic komercdarbību Latvijā, pārņemt attiecīgā ārvalstu elektrisko un </w:t>
            </w:r>
            <w:r>
              <w:lastRenderedPageBreak/>
              <w:t>elektronisko iekārtu ražotāja saistības Latvijā attiecībā uz šajā likumā noteikto elektrisko un elektronisko iekārtu atkritumu apsaimniekošanas prasību izpildi. Citi ārvalstu elektrisko un elektronisko iekārtu ražotāji izņēmuma kārtā drīkst rakstveidā pilnvarot personu, kas veic komercdarbību Latvijā, pārņemt attiecīgā ārvalstu elektrisko un elektronisko iekārtu ražotāja saistības Latvijā attiecībā uz šajā likumā noteikto elektrisko un elektronisko iekārtu atkritumu apsaimniekošanas prasību izpildi.</w:t>
            </w:r>
            <w:r>
              <w:br/>
            </w:r>
            <w:r>
              <w:br/>
              <w:t xml:space="preserve">2) Latvijā reģistrēts elektrisko un elektronisko iekārtu ražotājs, kurš veic komercdarbību Latvijā un, izmantojot distances līgumu, pārdod elektriskās un elektroniskās iekārtas citā Eiropas Savienības dalībvalstī, kur tas neveic komercdarbību, rakstveidā pilnvaro personu, kas ir reģistrēta attiecīgajā Eiropas Savienības dalībvalstī, pārņemt elektrisko un </w:t>
            </w:r>
            <w:r>
              <w:lastRenderedPageBreak/>
              <w:t>elektronisko iekārtu ražotāja saistības attiecīgajā Eiropas Savienības dalībvalstī attiecībā uz elektrisko un elektronisko iekārtu atkritumu apsaimniekošanu."</w:t>
            </w:r>
          </w:p>
        </w:tc>
        <w:tc>
          <w:tcPr>
            <w:tcW w:w="1650" w:type="dxa"/>
            <w:shd w:val="clear" w:color="auto" w:fill="FFFFFF"/>
            <w:noWrap/>
            <w:tcMar>
              <w:top w:w="75" w:type="dxa"/>
              <w:left w:w="75" w:type="dxa"/>
              <w:bottom w:w="75" w:type="dxa"/>
              <w:right w:w="75" w:type="dxa"/>
            </w:tcMar>
          </w:tcPr>
          <w:p w14:paraId="62D0817E" w14:textId="2C93AE29" w:rsidR="00F46E58" w:rsidRDefault="008D675E" w:rsidP="00750E81">
            <w:r>
              <w:lastRenderedPageBreak/>
              <w:t xml:space="preserve">Ņemts vērā. </w:t>
            </w:r>
          </w:p>
        </w:tc>
        <w:tc>
          <w:tcPr>
            <w:tcW w:w="4056" w:type="dxa"/>
            <w:shd w:val="clear" w:color="auto" w:fill="FFFFFF"/>
            <w:noWrap/>
            <w:tcMar>
              <w:top w:w="75" w:type="dxa"/>
              <w:left w:w="75" w:type="dxa"/>
              <w:bottom w:w="75" w:type="dxa"/>
              <w:right w:w="75" w:type="dxa"/>
            </w:tcMar>
          </w:tcPr>
          <w:p w14:paraId="3750927F" w14:textId="77777777" w:rsidR="00F46E58" w:rsidRDefault="00B92613" w:rsidP="00750E81">
            <w:r>
              <w:t xml:space="preserve">Likumprojekts papildināts ar </w:t>
            </w:r>
            <w:r w:rsidR="00CD520B">
              <w:t>6.pantu šādā redakcijā:</w:t>
            </w:r>
          </w:p>
          <w:p w14:paraId="6258CE5E" w14:textId="77777777" w:rsidR="00CD520B" w:rsidRDefault="00CD520B" w:rsidP="00750E81">
            <w:r>
              <w:t>Izteikt 24.panta (11) daļu šādā redakcijā:</w:t>
            </w:r>
          </w:p>
          <w:p w14:paraId="7404BADA" w14:textId="60003938" w:rsidR="00CD520B" w:rsidRDefault="00FF0287" w:rsidP="00750E81">
            <w:r>
              <w:t xml:space="preserve">“(11) Ārvalstu elektrisko un elektronisko iekārtu ražotāji, kas veic uzņēmējdarbību citā valstī un pārdod elektriskās un elektroniskās iekārtas Latvijā, izmantojot distances līgumu, rakstveidā pilnvaro personu, kas veic komercdarbību Latvijā, pārņemt attiecīgā ārvalstu elektrisko un elektronisko iekārtu ražotāja saistības Latvijā attiecībā uz šajā likumā noteikto elektrisko un elektronisko iekārtu atkritumu </w:t>
            </w:r>
            <w:r>
              <w:lastRenderedPageBreak/>
              <w:t>apsaimniekošanas prasību izpildi. Citi ārvalstu elektrisko un elektronisko iekārtu ražotāji izņēmuma kārtā drīkst rakstveidā pilnvarot personu, kas veic komercdarbību Latvijā, pārņemt attiecīgā ārvalstu elektrisko un elektronisko iekārtu ražotāja saistības Latvijā attiecībā uz šajā likumā noteikto elektrisko un elektronisko iekārtu atkritumu apsaimniekošanas prasību izpildi.</w:t>
            </w:r>
            <w:r w:rsidR="00D36343">
              <w:t xml:space="preserve"> Latvijā reģistrēts elektrisko un elektronisko iekārtu ražotājs, kurš veic komercdarbību Latvijā un, izmantojot distances līgumu, pārdod elektriskās un elektroniskās iekārtas citā Eiropas Savienības dalībvalstī, kur tas neveic komercdarbību, rakstveidā pilnvaro personu, kas ir reģistrēta attiecīgajā Eiropas Savienības dalībvalstī, pārņemt elektrisko un elektronisko iekārtu ražotāja saistības attiecīgajā Eiropas</w:t>
            </w:r>
            <w:r w:rsidR="00750E81">
              <w:t xml:space="preserve"> Savienības dalībvalstī attiecībā uz elektrisko un elektronisko iekārtu atkritumu apsaimniekošanu."</w:t>
            </w:r>
          </w:p>
        </w:tc>
      </w:tr>
      <w:tr w:rsidR="00F46E58" w14:paraId="0AEBF16C" w14:textId="77777777" w:rsidTr="008F2639">
        <w:tc>
          <w:tcPr>
            <w:tcW w:w="750" w:type="dxa"/>
            <w:shd w:val="clear" w:color="auto" w:fill="FFFFFF"/>
            <w:noWrap/>
            <w:tcMar>
              <w:top w:w="75" w:type="dxa"/>
              <w:left w:w="75" w:type="dxa"/>
              <w:bottom w:w="75" w:type="dxa"/>
              <w:right w:w="75" w:type="dxa"/>
            </w:tcMar>
            <w:vAlign w:val="center"/>
          </w:tcPr>
          <w:p w14:paraId="1BF25141" w14:textId="77777777" w:rsidR="00F46E58" w:rsidRDefault="00750E81">
            <w:pPr>
              <w:jc w:val="center"/>
            </w:pPr>
            <w:r>
              <w:lastRenderedPageBreak/>
              <w:t>2.</w:t>
            </w:r>
          </w:p>
        </w:tc>
        <w:tc>
          <w:tcPr>
            <w:tcW w:w="4055" w:type="dxa"/>
            <w:shd w:val="clear" w:color="auto" w:fill="FFFFFF"/>
            <w:noWrap/>
            <w:tcMar>
              <w:top w:w="75" w:type="dxa"/>
              <w:left w:w="75" w:type="dxa"/>
              <w:bottom w:w="75" w:type="dxa"/>
              <w:right w:w="75" w:type="dxa"/>
            </w:tcMar>
            <w:vAlign w:val="center"/>
          </w:tcPr>
          <w:p w14:paraId="3A23EB47" w14:textId="77777777" w:rsidR="00F46E58" w:rsidRDefault="00750E81">
            <w:pPr>
              <w:jc w:val="left"/>
            </w:pPr>
            <w:r>
              <w:t>"VIDES INICIATĪVU CENTRS", Ilona Eglīte</w:t>
            </w:r>
          </w:p>
        </w:tc>
        <w:tc>
          <w:tcPr>
            <w:tcW w:w="4056" w:type="dxa"/>
            <w:shd w:val="clear" w:color="auto" w:fill="FFFFFF"/>
            <w:noWrap/>
            <w:tcMar>
              <w:top w:w="75" w:type="dxa"/>
              <w:left w:w="75" w:type="dxa"/>
              <w:bottom w:w="75" w:type="dxa"/>
              <w:right w:w="75" w:type="dxa"/>
            </w:tcMar>
            <w:vAlign w:val="center"/>
          </w:tcPr>
          <w:p w14:paraId="0F05D345" w14:textId="77777777" w:rsidR="00F46E58" w:rsidRDefault="00750E81" w:rsidP="000761D5">
            <w:r>
              <w:t>Pamatojoties uz Eiropas Parlamenta un Padomes Regulas (ES) 2023/1542 62. panta noteikumiem par izplatītāju pienākumiem, kur teikts, ka:</w:t>
            </w:r>
            <w:r>
              <w:br/>
              <w:t>Izplatītāji bateriju atkritumus no tiešā lietotāja pieņem atpakaļ bez maksas un neuzliekot par pienākumu tiešajam lietotājam iegādāties jaunu bateriju vai nosacījumus, ka baterijai jābūt iegādātai konkrētajā tirdzniecības vietā – neatkarīgi no bateriju atkritumu ķīmiskā sastāva, zīmola vai izcelsmes.</w:t>
            </w:r>
            <w:r>
              <w:br/>
              <w:t xml:space="preserve">Šī pienākuma izpilde attiecināma tikai uz tādas kategorijas bateriju atkritumiem, kuras ir vai ir bijušas izplatītāja sortimentā, un pārnēsājamo bateriju gadījumā – tikai uz tādiem daudzumiem, ko parasti izmet neprofesionāli tiešie </w:t>
            </w:r>
            <w:r>
              <w:lastRenderedPageBreak/>
              <w:t>lietotāji.</w:t>
            </w:r>
            <w:r>
              <w:br/>
            </w:r>
            <w:r>
              <w:br/>
              <w:t>Termins “neprofesionāli tiešie lietotāji” var tikt interpretēts dažādi. Tas var ietvert plašu sabiedrības grupu, tai skaitā mājsaimniecības, kurās baterijas tiek izmantotas personīgām vajadzībām. Informācijas trūkuma vai zemā izglītības līmeņa dēļ sabiedrībā pastāv risks, ka izlietotās baterijas netiek nodotas pārstrādei, bet nonāk sadzīves atkritumos, tādējādi apdraudot vidi.</w:t>
            </w:r>
            <w:r>
              <w:br/>
              <w:t>Turklāt, lai gan bateriju izplatītāji un atkritumu apsaimniekotāji nodrošina bateriju nodošanas iespējas (piemēram, speciālajās kastēs tirdzniecības vietās), šīs iespējas bieži vien ir pieejamas tikai šo iestāžu darba laikā, un tās nav pietiekami ērti sasniedzamas visiem lietotājiem.</w:t>
            </w:r>
            <w:r>
              <w:br/>
            </w:r>
            <w:r>
              <w:br/>
              <w:t>Ieteikums:</w:t>
            </w:r>
            <w:r>
              <w:br/>
              <w:t xml:space="preserve">Biedrība “Vides iniciatīvu centrs” rosina papildināt </w:t>
            </w:r>
            <w:r>
              <w:lastRenderedPageBreak/>
              <w:t>normatīvo regulējumu ar priekšlikumu, kas paredzētu:</w:t>
            </w:r>
            <w:r>
              <w:br/>
              <w:t>Bateriju izplatītājiem un atkritumu apsaimniekotājiem īstenot sabiedrības informēšanas un izglītošanas kampaņas.</w:t>
            </w:r>
            <w:r>
              <w:br/>
            </w:r>
            <w:r>
              <w:br/>
              <w:t>Iniciatīvas piemērs:</w:t>
            </w:r>
            <w:r>
              <w:br/>
            </w:r>
            <w:r>
              <w:br/>
              <w:t>Informatīva kampaņa, nodrošinot iespēju bez maksas saņemt vai lejupielādēt mājsaimniecībās lietojamu “Izlietoto bateriju kastīti”.</w:t>
            </w:r>
            <w:r>
              <w:br/>
              <w:t>Šāda kampaņa veicinātu:</w:t>
            </w:r>
            <w:r>
              <w:br/>
              <w:t>izlietoto bateriju uzkrāšanu mājsaimniecībā drošā un pārskatāmā veidā;</w:t>
            </w:r>
            <w:r>
              <w:br/>
              <w:t>skaidrāku izpratni par bateriju šķirošanas nozīmi;</w:t>
            </w:r>
            <w:r>
              <w:br/>
              <w:t>ērtāku nodošanu speciālajos savākšanas punktos;</w:t>
            </w:r>
            <w:r>
              <w:br/>
              <w:t>resursu taupīšanu, izvairoties no jauno un izlietoto bateriju sajaukšanas.</w:t>
            </w:r>
            <w:r>
              <w:br/>
              <w:t xml:space="preserve">Biedrība “Vides iniciatīvu centrs” projekta ietvaros saņēmusi Jēkabpils Tehnoloģiju </w:t>
            </w:r>
            <w:r>
              <w:lastRenderedPageBreak/>
              <w:t>tehnikuma Komunikācijas dizaina izglītības programmas audzēkņa izstrādāto Zaļā dizaina prototipu “Izlietoto bateriju kastītei”, kas pieejams gan fiziskā formā, gan arī izdrukājams kā dizaina fails - personīgai lietošanai.</w:t>
            </w:r>
            <w:r>
              <w:br/>
              <w:t>Prototipu iespējams apskatīt šeit:</w:t>
            </w:r>
            <w:r>
              <w:br/>
              <w:t>https://www.videsnvo.lv/lv/jaunumi/projekti/padomu-kratuve-mazie-zalie-ikdienas-tetovejumi-/</w:t>
            </w:r>
            <w:r>
              <w:br/>
            </w:r>
            <w:r>
              <w:br/>
              <w:t>Aicinājums</w:t>
            </w:r>
            <w:r>
              <w:br/>
              <w:t>Lūdzam izvērtēt šī ieteikuma iekļaušanu likumprojekta grozījumos, lai paplašinātu sabiedrības iesaisti atbildīgā resursu apsaimniekošanā un samazinātu bateriju radīto piesārņojumu.</w:t>
            </w:r>
          </w:p>
        </w:tc>
        <w:tc>
          <w:tcPr>
            <w:tcW w:w="1650" w:type="dxa"/>
            <w:shd w:val="clear" w:color="auto" w:fill="FFFFFF"/>
            <w:noWrap/>
            <w:tcMar>
              <w:top w:w="75" w:type="dxa"/>
              <w:left w:w="75" w:type="dxa"/>
              <w:bottom w:w="75" w:type="dxa"/>
              <w:right w:w="75" w:type="dxa"/>
            </w:tcMar>
            <w:vAlign w:val="center"/>
          </w:tcPr>
          <w:p w14:paraId="6D86B4B0" w14:textId="01DFA04A" w:rsidR="00F46E58" w:rsidRDefault="008F2639">
            <w:pPr>
              <w:jc w:val="left"/>
            </w:pPr>
            <w:r>
              <w:lastRenderedPageBreak/>
              <w:t>Nav ņemts vērā.</w:t>
            </w:r>
          </w:p>
        </w:tc>
        <w:tc>
          <w:tcPr>
            <w:tcW w:w="4056" w:type="dxa"/>
            <w:shd w:val="clear" w:color="auto" w:fill="FFFFFF"/>
            <w:noWrap/>
            <w:tcMar>
              <w:top w:w="75" w:type="dxa"/>
              <w:left w:w="75" w:type="dxa"/>
              <w:bottom w:w="75" w:type="dxa"/>
              <w:right w:w="75" w:type="dxa"/>
            </w:tcMar>
          </w:tcPr>
          <w:p w14:paraId="34BBF930" w14:textId="77777777" w:rsidR="00F46E58" w:rsidRDefault="008F2639" w:rsidP="000D1FF3">
            <w:r>
              <w:t xml:space="preserve">KEM pateicas par priekšlikumu. </w:t>
            </w:r>
          </w:p>
          <w:p w14:paraId="63CEADBC" w14:textId="5E27543D" w:rsidR="008F2639" w:rsidRPr="00470EC4" w:rsidRDefault="004D7499" w:rsidP="000D1FF3">
            <w:pPr>
              <w:rPr>
                <w:b/>
                <w:bCs/>
              </w:rPr>
            </w:pPr>
            <w:r>
              <w:t xml:space="preserve">KEM paskaidro, ka </w:t>
            </w:r>
            <w:r w:rsidR="00D66018" w:rsidRPr="00D66018">
              <w:t>Eiropas Parlamenta un Padomes 2023. gada 12. jūlij</w:t>
            </w:r>
            <w:r w:rsidR="00D66018">
              <w:t>a</w:t>
            </w:r>
            <w:r w:rsidR="00D66018" w:rsidRPr="00D66018">
              <w:t xml:space="preserve"> Regula</w:t>
            </w:r>
            <w:r w:rsidR="00D66018">
              <w:t>s</w:t>
            </w:r>
            <w:r w:rsidR="00D66018" w:rsidRPr="00D66018">
              <w:t xml:space="preserve"> (ES) 2023/1542 par baterijām un bateriju atkritumiem, ar ko groza Direktīvu 2008/98/EK un Regulu (ES) 2019/1020 un atceļ Direktīvu 2006/66/EK</w:t>
            </w:r>
            <w:r w:rsidR="00D66018">
              <w:t xml:space="preserve"> (turpmāk – Bateriju regula)</w:t>
            </w:r>
            <w:r w:rsidR="00470EC4">
              <w:t xml:space="preserve"> 10.apsvērumā ir norādīts, ka “</w:t>
            </w:r>
            <w:r w:rsidR="00470EC4" w:rsidRPr="00470EC4">
              <w:rPr>
                <w:i/>
                <w:iCs/>
              </w:rPr>
              <w:t xml:space="preserve">Lai sasniegtu iecerētos mērķus – vienā juridiskā instrumentā pievērsties visam baterijas aprites ciklam, vienlaikus nepieļaujot šķēršļus tirdzniecībai un konkurences izkropļojumus, kā arī saglabājot iekšējā tirgus integritāti –, noteikumiem par baterijām izvirzītajām prasībām vajadzētu būt vienveidīgi piemērojamiem visiem ekonomikas operatoriem visā Savienībā, un nevajadzētu būt </w:t>
            </w:r>
            <w:r w:rsidR="00470EC4" w:rsidRPr="00470EC4">
              <w:rPr>
                <w:i/>
                <w:iCs/>
              </w:rPr>
              <w:lastRenderedPageBreak/>
              <w:t>iespējai dalībvalstīs tos īstenot atšķirīgi.</w:t>
            </w:r>
            <w:r w:rsidR="00470EC4">
              <w:rPr>
                <w:i/>
                <w:iCs/>
              </w:rPr>
              <w:t>”</w:t>
            </w:r>
            <w:r w:rsidR="00470EC4">
              <w:t xml:space="preserve"> </w:t>
            </w:r>
            <w:r w:rsidR="000F1329">
              <w:t>Tā</w:t>
            </w:r>
            <w:r w:rsidR="00946546">
              <w:t xml:space="preserve"> kā </w:t>
            </w:r>
            <w:r w:rsidR="00945718">
              <w:t xml:space="preserve">Bateriju </w:t>
            </w:r>
            <w:r w:rsidR="00946546">
              <w:t>regula ir tieši piemērojams tiesību akt</w:t>
            </w:r>
            <w:r w:rsidR="004B12D2">
              <w:t xml:space="preserve">s, </w:t>
            </w:r>
            <w:r w:rsidR="00945718">
              <w:t xml:space="preserve">dalībvalstīm ir ierobežotas iespējas noteikts stingrākas prasības vai papildus prasības. </w:t>
            </w:r>
            <w:r w:rsidR="000B0042">
              <w:t xml:space="preserve">Vienlaikus KEM arī informē, ka Bateriju regula paredz arī </w:t>
            </w:r>
            <w:r w:rsidR="001F7B18">
              <w:t xml:space="preserve">bateriju savākšanas brīvprātīgu punktu darbību, tāpēc likumprojektā ir noteikts, ka šādu punktu darbībai nav nepieciešama atkritumu apsaimniekošanas atļauja. </w:t>
            </w:r>
            <w:r w:rsidR="00945718">
              <w:t xml:space="preserve">KEM vērš uzmanību, ka baterijas ir videi kaitīgās preces atbilstoši Dabas resursu nodokļa </w:t>
            </w:r>
            <w:r w:rsidR="000B0042">
              <w:t>likuma 9.pantam un 6.pielikumam</w:t>
            </w:r>
            <w:r w:rsidR="00D13EF7">
              <w:t>. U</w:t>
            </w:r>
            <w:r w:rsidR="000B0042">
              <w:t xml:space="preserve">z bateriju atkritumu apsaimniekošanu </w:t>
            </w:r>
            <w:r w:rsidR="001F7B18">
              <w:t>attiecas ražotāju paplašinātā atbildība, kura tiek realizēta atbilstoši Ministru kabineta 2021.gada 28.janvāra noteikumiem Nr.64 “</w:t>
            </w:r>
            <w:r w:rsidR="001F7B18" w:rsidRPr="004A5391">
              <w:t>Kārtība, kādā atbrīvo no dabas resursu nodokļa samaksas par videi kaitīgām precēm</w:t>
            </w:r>
            <w:r w:rsidR="001F7B18">
              <w:t>”</w:t>
            </w:r>
            <w:r w:rsidR="00D13EF7">
              <w:t xml:space="preserve">, kuru </w:t>
            </w:r>
            <w:r w:rsidR="006942B0">
              <w:t xml:space="preserve">4.3.apakšpunktā ir noteikts, ka videi kaitīgo preču atkritumu apsaimniekotājs </w:t>
            </w:r>
            <w:r w:rsidR="006942B0" w:rsidRPr="006942B0">
              <w:lastRenderedPageBreak/>
              <w:t>organizē vismaz četrus komunikācijas pasākumus kalendāra gadā, lai informētu sabiedrību par atkritumu dalītās vākšanas nepieciešamību un iespējām, kā arī iesaistītu atkritumu dalītās vākšanas aktivitātēs un veicinātu vides apziņas veidošanu sabiedrībā. Informatīvos pasākumus, no kuriem divi ir publikācijas un izglītojošie raksti plašsaziņas līdzekļos un divi saistīti ar sabiedrības līdzdalību, organizē visā Latvijas Republikas teritorijā vai arī katru citā atkritumu apsaimniekošanas reģionā. Organizēto pasākumu rezultātam ir jābūt izmērāmam un salīdzināmam</w:t>
            </w:r>
            <w:r w:rsidR="00831F26">
              <w:t xml:space="preserve">. KEM aicina informēt videi kaitīgo preču atkritumu apsaimniekotājus par inovatīviem risinājumiem bateriju atkritumu savākšanai, šādā veidā </w:t>
            </w:r>
            <w:r w:rsidR="000D1FF3">
              <w:t xml:space="preserve">veicinot gan videi kaitīgo preču atkritumu apsaimniekošanu, gan sabiedrības informēšanu. </w:t>
            </w:r>
          </w:p>
        </w:tc>
      </w:tr>
      <w:tr w:rsidR="00F46E58" w14:paraId="031E685B" w14:textId="77777777" w:rsidTr="00EF33A6">
        <w:tc>
          <w:tcPr>
            <w:tcW w:w="750" w:type="dxa"/>
            <w:shd w:val="clear" w:color="auto" w:fill="FFFFFF"/>
            <w:noWrap/>
            <w:tcMar>
              <w:top w:w="75" w:type="dxa"/>
              <w:left w:w="75" w:type="dxa"/>
              <w:bottom w:w="75" w:type="dxa"/>
              <w:right w:w="75" w:type="dxa"/>
            </w:tcMar>
            <w:vAlign w:val="center"/>
          </w:tcPr>
          <w:p w14:paraId="189973D5" w14:textId="77777777" w:rsidR="00F46E58" w:rsidRDefault="00750E81">
            <w:pPr>
              <w:jc w:val="center"/>
            </w:pPr>
            <w:r>
              <w:lastRenderedPageBreak/>
              <w:t>3.</w:t>
            </w:r>
          </w:p>
        </w:tc>
        <w:tc>
          <w:tcPr>
            <w:tcW w:w="4055" w:type="dxa"/>
            <w:shd w:val="clear" w:color="auto" w:fill="FFFFFF"/>
            <w:noWrap/>
            <w:tcMar>
              <w:top w:w="75" w:type="dxa"/>
              <w:left w:w="75" w:type="dxa"/>
              <w:bottom w:w="75" w:type="dxa"/>
              <w:right w:w="75" w:type="dxa"/>
            </w:tcMar>
            <w:vAlign w:val="center"/>
          </w:tcPr>
          <w:p w14:paraId="51FD83AD" w14:textId="77777777" w:rsidR="00F46E58" w:rsidRDefault="00750E81">
            <w:pPr>
              <w:jc w:val="left"/>
            </w:pPr>
            <w:r>
              <w:t>*Fiziska persona</w:t>
            </w:r>
          </w:p>
        </w:tc>
        <w:tc>
          <w:tcPr>
            <w:tcW w:w="4056" w:type="dxa"/>
            <w:shd w:val="clear" w:color="auto" w:fill="FFFFFF"/>
            <w:noWrap/>
            <w:tcMar>
              <w:top w:w="75" w:type="dxa"/>
              <w:left w:w="75" w:type="dxa"/>
              <w:bottom w:w="75" w:type="dxa"/>
              <w:right w:w="75" w:type="dxa"/>
            </w:tcMar>
            <w:vAlign w:val="center"/>
          </w:tcPr>
          <w:p w14:paraId="05B160C3" w14:textId="77777777" w:rsidR="00F46E58" w:rsidRDefault="00750E81" w:rsidP="000761D5">
            <w:r>
              <w:t>Ierosinājums par pantu:</w:t>
            </w:r>
            <w:r>
              <w:br/>
              <w:t>26. (4</w:t>
            </w:r>
            <w:r>
              <w:rPr>
                <w:vertAlign w:val="superscript"/>
              </w:rPr>
              <w:t>1</w:t>
            </w:r>
            <w:r>
              <w:t xml:space="preserve">) Mazumtirdzniecības veikalos, kuros ir vismaz 400 kvadrātmetru lielas elektrisko un elektronisko iekārtu tirdzniecības platības, vai tiešā to tuvumā elektrisko un elektronisko iekārtu </w:t>
            </w:r>
            <w:r>
              <w:lastRenderedPageBreak/>
              <w:t>izplatītājs nodrošina tādu elektrisko un elektronisko iekārtu savākšanu no lietotājiem bez maksas, kurām neviens ārējais izmērs nepārsniedz 25 centimetrus, neprasot iegādāties tāda paša vai līdzīga veida elektrisko vai elektronisko iekārtu. Elektrisko un elektronisko iekārtu izplatītājs nodrošina savākto elektrisko un elektronisko iekārtu atkritumu apsaimniekošanu atbilstoši šā panta piektajai daļai.</w:t>
            </w:r>
            <w:r>
              <w:br/>
            </w:r>
            <w:r>
              <w:br/>
              <w:t xml:space="preserve">Ierosinu samazināt noteikto platību no 400 kvadrātmetriem uz, piemēram, 100 kvadrātmetriem, lai veicinātu iedzīvotāju piekļuvi elektrisko un elektronisko iekārtu nodošanas vietām. Tas ir īpaši nozīmīgi Latvijas reģionos, kur mazākajās pilsētās vienīgais šādu atkritumu pieņemšanas punkts nereti ir atkritumu šķirošanas laukums, kas neatrodas centrālā un ērti pieejamā vietā, tāpēc mazo iekārtu gadījumā tos izmanto retais un lielākā daļa mazo elektrisko un </w:t>
            </w:r>
            <w:r>
              <w:lastRenderedPageBreak/>
              <w:t>elektronisko iekārtu atkritumu tiek izmesti nešķirotajos sadzīves atkritumos. Šāda izmaiņa veicinātu savākšanas vietu pieejamību un atpazīstamību, padarot tās iedzīvotājiem redzamākas un ērtāk sasniedzamas. Rezultātā varētu uzlaboties elektrisko un elektronisko iekārtu nodošana atbilstošai pārstrādei, kas savukārt būtu saskaņā ar aprites ekonomikas principiem un vides aizsardzības mērķiem.</w:t>
            </w:r>
            <w:r>
              <w:br/>
            </w:r>
          </w:p>
        </w:tc>
        <w:tc>
          <w:tcPr>
            <w:tcW w:w="1650" w:type="dxa"/>
            <w:shd w:val="clear" w:color="auto" w:fill="FFFFFF"/>
            <w:noWrap/>
            <w:tcMar>
              <w:top w:w="75" w:type="dxa"/>
              <w:left w:w="75" w:type="dxa"/>
              <w:bottom w:w="75" w:type="dxa"/>
              <w:right w:w="75" w:type="dxa"/>
            </w:tcMar>
          </w:tcPr>
          <w:p w14:paraId="00D9D550" w14:textId="5DB97634" w:rsidR="00F46E58" w:rsidRDefault="00EF33A6" w:rsidP="00C03035">
            <w:pPr>
              <w:jc w:val="left"/>
            </w:pPr>
            <w:r>
              <w:lastRenderedPageBreak/>
              <w:t xml:space="preserve">Nav ņemts vērā. </w:t>
            </w:r>
          </w:p>
        </w:tc>
        <w:tc>
          <w:tcPr>
            <w:tcW w:w="4056" w:type="dxa"/>
            <w:shd w:val="clear" w:color="auto" w:fill="FFFFFF"/>
            <w:noWrap/>
            <w:tcMar>
              <w:top w:w="75" w:type="dxa"/>
              <w:left w:w="75" w:type="dxa"/>
              <w:bottom w:w="75" w:type="dxa"/>
              <w:right w:w="75" w:type="dxa"/>
            </w:tcMar>
          </w:tcPr>
          <w:p w14:paraId="0BCDFFDB" w14:textId="47B402E2" w:rsidR="00F46E58" w:rsidRDefault="00F012F0" w:rsidP="00C01CB3">
            <w:r>
              <w:t xml:space="preserve">KEM pateicas par izteikto viedokli. KEM paskaidro, ka </w:t>
            </w:r>
            <w:r w:rsidR="00EF33A6">
              <w:t>Atkritumu apsaimnie</w:t>
            </w:r>
            <w:r w:rsidR="008D0933">
              <w:t>košanas likuma 26.panta 1.</w:t>
            </w:r>
            <w:r w:rsidR="008D0933" w:rsidRPr="007A0011">
              <w:rPr>
                <w:vertAlign w:val="superscript"/>
              </w:rPr>
              <w:t>1</w:t>
            </w:r>
            <w:r w:rsidR="008D0933">
              <w:t xml:space="preserve"> daļa nodrošina</w:t>
            </w:r>
            <w:r w:rsidR="00C545DF">
              <w:t xml:space="preserve"> </w:t>
            </w:r>
            <w:r w:rsidR="00C545DF" w:rsidRPr="00C545DF">
              <w:t>Eiropas Parlamenta un Padomes 2012. gada 4. jūlij</w:t>
            </w:r>
            <w:r w:rsidR="00C545DF">
              <w:t xml:space="preserve">a </w:t>
            </w:r>
            <w:r w:rsidR="00C545DF" w:rsidRPr="00C545DF">
              <w:t>Direktīva</w:t>
            </w:r>
            <w:r w:rsidR="00C545DF">
              <w:t>s</w:t>
            </w:r>
            <w:r w:rsidR="00C545DF" w:rsidRPr="00C545DF">
              <w:t xml:space="preserve"> 2012/19/ES par elektrisko un </w:t>
            </w:r>
            <w:r w:rsidR="00C545DF" w:rsidRPr="00C545DF">
              <w:lastRenderedPageBreak/>
              <w:t>elektronisko iekārtu atkritumiem (EEIA</w:t>
            </w:r>
            <w:r w:rsidR="00C545DF">
              <w:t>, turpmāk  - Direktīva 2012/19/ES</w:t>
            </w:r>
            <w:r w:rsidR="00C545DF" w:rsidRPr="00C545DF">
              <w:t>)</w:t>
            </w:r>
            <w:r w:rsidR="00C545DF">
              <w:t xml:space="preserve"> </w:t>
            </w:r>
            <w:r w:rsidR="003875F0">
              <w:t xml:space="preserve">5.panta 2.punkta </w:t>
            </w:r>
            <w:r w:rsidR="00A32969">
              <w:t>c) apakšpunkta prasību pārņemšanu</w:t>
            </w:r>
            <w:r w:rsidR="008D0933">
              <w:t>.</w:t>
            </w:r>
            <w:r w:rsidR="006C6FC0">
              <w:t xml:space="preserve"> Mazumtirdzniecības viet</w:t>
            </w:r>
            <w:r w:rsidR="008213E9">
              <w:t>as platības samazināšana nostādītu Latvijas mazumtirdzniecības komersantus nevienlīdzīgā situācijā salīdzinājumā ar citu Eiropas Savienības dalībvalstu komersantiem, tā kā Latvijas komersantiem būtu jāievēro stingrākas prasības un jā</w:t>
            </w:r>
            <w:r w:rsidR="009D53DE">
              <w:t>nodrošina attiecīgi finanšu resursi minēto prasību izpildei.</w:t>
            </w:r>
            <w:r w:rsidR="00A32969">
              <w:t xml:space="preserve"> </w:t>
            </w:r>
            <w:r w:rsidR="008D0933">
              <w:t xml:space="preserve"> </w:t>
            </w:r>
          </w:p>
          <w:p w14:paraId="3FD90194" w14:textId="28CECD8E" w:rsidR="008D0933" w:rsidRDefault="008F0805" w:rsidP="00C01CB3">
            <w:r>
              <w:t xml:space="preserve">Latvijā izveidotā EEIA savākšanas sistēma, tajā skaitā arī mazumtirdzniecības vietās nodrošinātā EEIA savākšana, ir pietiekami efektīva, lai nodrošinātu normatīvajos aktos noteikto prasību izpildi , jo </w:t>
            </w:r>
            <w:r w:rsidR="008D0933">
              <w:t xml:space="preserve">2023.gadā Latvijā tika savākti </w:t>
            </w:r>
            <w:r w:rsidR="000732A2">
              <w:t xml:space="preserve">65% </w:t>
            </w:r>
            <w:r w:rsidR="00F577C3">
              <w:t xml:space="preserve"> EEIA  no vidējā iepriekšējos trīs gados Latvijas tirgū laisto elektrisko un elektronisko iekārtu apjoma</w:t>
            </w:r>
            <w:r w:rsidR="000732A2">
              <w:t xml:space="preserve">, </w:t>
            </w:r>
            <w:r w:rsidR="00F577C3">
              <w:t xml:space="preserve">tādejādi izpildot Direktīvas 2012/19/ES </w:t>
            </w:r>
            <w:r w:rsidR="00F0660E">
              <w:t xml:space="preserve">7.panta </w:t>
            </w:r>
            <w:r w:rsidR="00F0660E">
              <w:lastRenderedPageBreak/>
              <w:t>1.punkta otrajā daļā noteiktos EEIA savākšanas mērķis</w:t>
            </w:r>
            <w:r w:rsidR="00F005FB">
              <w:t>. Vi</w:t>
            </w:r>
            <w:r w:rsidR="00E9084E">
              <w:t>enlaikus KEM paskaidro, ka</w:t>
            </w:r>
            <w:r w:rsidR="00CE4677">
              <w:t xml:space="preserve"> </w:t>
            </w:r>
            <w:r w:rsidR="00B86C5C">
              <w:t xml:space="preserve">uz elektrisko un elektronisko iekārtu atkritumu apsaimniekošanu attiecas arī </w:t>
            </w:r>
            <w:r w:rsidR="00837240">
              <w:t xml:space="preserve">ražotāju atbildības piemērošana atbilstoši Dabas resursu nodokļa 9.pantam un 6.pielikumam, kā arī Ministru kabineta </w:t>
            </w:r>
            <w:r w:rsidR="004A5391">
              <w:t>2021.gada 28.janvāra noteikumiem Nr.64 “</w:t>
            </w:r>
            <w:r w:rsidR="004A5391" w:rsidRPr="004A5391">
              <w:t>Kārtība, kādā atbrīvo no dabas resursu nodokļa samaksas par videi kaitīgām precēm</w:t>
            </w:r>
            <w:r w:rsidR="004A5391">
              <w:t>”</w:t>
            </w:r>
            <w:r w:rsidR="004C4D63">
              <w:t>, tāpēc, lai vēl vairāk uzlabotu EEIA dalīto vākšanu, ir iespējams izmantot arī citus risinājumus</w:t>
            </w:r>
            <w:r w:rsidR="002E12BA">
              <w:t xml:space="preserve">, piemēram, palielinot prasības </w:t>
            </w:r>
            <w:r w:rsidR="00964B8D">
              <w:t>EEIA savākšanas vietu skaitam pašvaldībās, palielinot EEIA dalītās savākšanas mērķus, u.c.</w:t>
            </w:r>
          </w:p>
        </w:tc>
      </w:tr>
    </w:tbl>
    <w:p w14:paraId="409624FA" w14:textId="77777777" w:rsidR="00F46E58" w:rsidRDefault="00F46E58"/>
    <w:tbl>
      <w:tblPr>
        <w:tblStyle w:val="a"/>
        <w:tblW w:w="14567" w:type="dxa"/>
        <w:tblLayout w:type="fixed"/>
        <w:tblLook w:val="0600" w:firstRow="0" w:lastRow="0" w:firstColumn="0" w:lastColumn="0" w:noHBand="1" w:noVBand="1"/>
      </w:tblPr>
      <w:tblGrid>
        <w:gridCol w:w="4855"/>
        <w:gridCol w:w="4856"/>
        <w:gridCol w:w="4856"/>
      </w:tblGrid>
      <w:tr w:rsidR="00F46E58" w14:paraId="2745B1B7" w14:textId="77777777">
        <w:tc>
          <w:tcPr>
            <w:tcW w:w="4855" w:type="dxa"/>
            <w:shd w:val="clear" w:color="auto" w:fill="FFFFFF"/>
            <w:noWrap/>
            <w:tcMar>
              <w:top w:w="75" w:type="dxa"/>
              <w:left w:w="75" w:type="dxa"/>
              <w:bottom w:w="75" w:type="dxa"/>
              <w:right w:w="75" w:type="dxa"/>
            </w:tcMar>
            <w:vAlign w:val="center"/>
          </w:tcPr>
          <w:p w14:paraId="5B157452" w14:textId="77777777" w:rsidR="00F46E58" w:rsidRDefault="00750E81">
            <w:pPr>
              <w:jc w:val="left"/>
            </w:pPr>
            <w:r>
              <w:t>Datums**</w:t>
            </w:r>
          </w:p>
        </w:tc>
        <w:tc>
          <w:tcPr>
            <w:tcW w:w="4856" w:type="dxa"/>
            <w:shd w:val="clear" w:color="auto" w:fill="FFFFFF"/>
            <w:noWrap/>
            <w:tcMar>
              <w:top w:w="75" w:type="dxa"/>
              <w:left w:w="75" w:type="dxa"/>
              <w:bottom w:w="75" w:type="dxa"/>
              <w:right w:w="75" w:type="dxa"/>
            </w:tcMar>
            <w:vAlign w:val="center"/>
          </w:tcPr>
          <w:p w14:paraId="611C550A" w14:textId="77777777" w:rsidR="00F46E58" w:rsidRDefault="00F46E58">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16F74603" w14:textId="77777777" w:rsidR="00F46E58" w:rsidRDefault="00F46E58"/>
        </w:tc>
      </w:tr>
      <w:tr w:rsidR="00F46E58" w14:paraId="33F0329E" w14:textId="77777777">
        <w:tc>
          <w:tcPr>
            <w:tcW w:w="4855" w:type="dxa"/>
            <w:shd w:val="clear" w:color="auto" w:fill="FFFFFF"/>
            <w:noWrap/>
            <w:tcMar>
              <w:top w:w="75" w:type="dxa"/>
              <w:left w:w="75" w:type="dxa"/>
              <w:bottom w:w="75" w:type="dxa"/>
              <w:right w:w="75" w:type="dxa"/>
            </w:tcMar>
            <w:vAlign w:val="center"/>
          </w:tcPr>
          <w:p w14:paraId="37BF7E0A" w14:textId="77777777" w:rsidR="00F46E58" w:rsidRDefault="00F46E58"/>
        </w:tc>
        <w:tc>
          <w:tcPr>
            <w:tcW w:w="4856" w:type="dxa"/>
            <w:shd w:val="clear" w:color="auto" w:fill="FFFFFF"/>
            <w:noWrap/>
            <w:tcMar>
              <w:top w:w="75" w:type="dxa"/>
              <w:left w:w="75" w:type="dxa"/>
              <w:bottom w:w="75" w:type="dxa"/>
              <w:right w:w="75" w:type="dxa"/>
            </w:tcMar>
            <w:vAlign w:val="center"/>
          </w:tcPr>
          <w:p w14:paraId="48532730" w14:textId="77777777" w:rsidR="00F46E58" w:rsidRDefault="00750E81">
            <w:pPr>
              <w:jc w:val="center"/>
            </w:pPr>
            <w:r>
              <w:t>(dd.mm.gggg)</w:t>
            </w:r>
          </w:p>
        </w:tc>
        <w:tc>
          <w:tcPr>
            <w:tcW w:w="4856" w:type="dxa"/>
            <w:shd w:val="clear" w:color="auto" w:fill="FFFFFF"/>
            <w:noWrap/>
            <w:tcMar>
              <w:top w:w="75" w:type="dxa"/>
              <w:left w:w="75" w:type="dxa"/>
              <w:bottom w:w="75" w:type="dxa"/>
              <w:right w:w="75" w:type="dxa"/>
            </w:tcMar>
            <w:vAlign w:val="center"/>
          </w:tcPr>
          <w:p w14:paraId="3913494F" w14:textId="77777777" w:rsidR="00F46E58" w:rsidRDefault="00F46E58"/>
        </w:tc>
      </w:tr>
      <w:tr w:rsidR="00F46E58" w14:paraId="10B9BAF9" w14:textId="77777777">
        <w:tc>
          <w:tcPr>
            <w:tcW w:w="4855" w:type="dxa"/>
            <w:shd w:val="clear" w:color="auto" w:fill="FFFFFF"/>
            <w:noWrap/>
            <w:tcMar>
              <w:top w:w="75" w:type="dxa"/>
              <w:left w:w="75" w:type="dxa"/>
              <w:bottom w:w="75" w:type="dxa"/>
              <w:right w:w="75" w:type="dxa"/>
            </w:tcMar>
            <w:vAlign w:val="center"/>
          </w:tcPr>
          <w:p w14:paraId="20D2A5DA" w14:textId="77777777" w:rsidR="00F46E58" w:rsidRDefault="00750E81">
            <w:pPr>
              <w:jc w:val="left"/>
            </w:pPr>
            <w:r>
              <w:t>Atbildīgā persona</w:t>
            </w:r>
          </w:p>
        </w:tc>
        <w:tc>
          <w:tcPr>
            <w:tcW w:w="4856" w:type="dxa"/>
            <w:shd w:val="clear" w:color="auto" w:fill="FFFFFF"/>
            <w:noWrap/>
            <w:tcMar>
              <w:top w:w="75" w:type="dxa"/>
              <w:left w:w="75" w:type="dxa"/>
              <w:bottom w:w="75" w:type="dxa"/>
              <w:right w:w="75" w:type="dxa"/>
            </w:tcMar>
            <w:vAlign w:val="center"/>
          </w:tcPr>
          <w:p w14:paraId="4C31567D" w14:textId="727E59F1" w:rsidR="00F46E58" w:rsidRDefault="00F46E58">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1BCFDF64" w14:textId="77777777" w:rsidR="00F46E58" w:rsidRDefault="00F46E58"/>
        </w:tc>
      </w:tr>
      <w:tr w:rsidR="00F46E58" w14:paraId="621BDE2C" w14:textId="77777777">
        <w:tc>
          <w:tcPr>
            <w:tcW w:w="4855" w:type="dxa"/>
            <w:shd w:val="clear" w:color="auto" w:fill="FFFFFF"/>
            <w:noWrap/>
            <w:tcMar>
              <w:top w:w="75" w:type="dxa"/>
              <w:left w:w="75" w:type="dxa"/>
              <w:bottom w:w="75" w:type="dxa"/>
              <w:right w:w="75" w:type="dxa"/>
            </w:tcMar>
            <w:vAlign w:val="center"/>
          </w:tcPr>
          <w:p w14:paraId="4046AC69" w14:textId="77777777" w:rsidR="00F46E58" w:rsidRDefault="00F46E58"/>
        </w:tc>
        <w:tc>
          <w:tcPr>
            <w:tcW w:w="4856" w:type="dxa"/>
            <w:shd w:val="clear" w:color="auto" w:fill="FFFFFF"/>
            <w:noWrap/>
            <w:tcMar>
              <w:top w:w="75" w:type="dxa"/>
              <w:left w:w="75" w:type="dxa"/>
              <w:bottom w:w="75" w:type="dxa"/>
              <w:right w:w="75" w:type="dxa"/>
            </w:tcMar>
            <w:vAlign w:val="center"/>
          </w:tcPr>
          <w:p w14:paraId="72511CB2" w14:textId="77777777" w:rsidR="00F46E58" w:rsidRDefault="00750E81">
            <w:pPr>
              <w:jc w:val="center"/>
            </w:pPr>
            <w:r>
              <w:t>(vārds, uzvārds, paraksts**)</w:t>
            </w:r>
          </w:p>
        </w:tc>
        <w:tc>
          <w:tcPr>
            <w:tcW w:w="4856" w:type="dxa"/>
            <w:shd w:val="clear" w:color="auto" w:fill="FFFFFF"/>
            <w:noWrap/>
            <w:tcMar>
              <w:top w:w="75" w:type="dxa"/>
              <w:left w:w="75" w:type="dxa"/>
              <w:bottom w:w="75" w:type="dxa"/>
              <w:right w:w="75" w:type="dxa"/>
            </w:tcMar>
            <w:vAlign w:val="center"/>
          </w:tcPr>
          <w:p w14:paraId="2CC6CFBA" w14:textId="77777777" w:rsidR="00F46E58" w:rsidRDefault="00F46E58"/>
        </w:tc>
      </w:tr>
    </w:tbl>
    <w:p w14:paraId="62272263" w14:textId="77777777" w:rsidR="00F46E58" w:rsidRDefault="00F46E58"/>
    <w:p w14:paraId="125F1918" w14:textId="77777777" w:rsidR="00F46E58" w:rsidRDefault="00750E81">
      <w:r>
        <w:t>Piezīmes.</w:t>
      </w:r>
    </w:p>
    <w:p w14:paraId="65525B20" w14:textId="77777777" w:rsidR="00F46E58" w:rsidRDefault="00750E81">
      <w:r>
        <w:t>* Iesniedzējs (fiziskai personai – vārds, uzvārds, juridiskai personai – nosaukums) var tikt publiskots, ja viņš tam ir piekritis. Ja attiecināms, iesniedzējs norāda interešu pārstāvja reģistrācijas numuru.</w:t>
      </w:r>
    </w:p>
    <w:p w14:paraId="237EB750" w14:textId="77777777" w:rsidR="00F46E58" w:rsidRDefault="00750E81">
      <w:r>
        <w:t>** Dokumenta rekvizītus "datums" un "paraksts" neaizpilda, ja elektroniskais dokuments ir sagatavots atbilstoši normatīvajiem aktiem par elektronisko dokumentu noformēšanu.</w:t>
      </w:r>
    </w:p>
    <w:sectPr w:rsidR="00F46E58">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C21EF" w14:textId="77777777" w:rsidR="00325619" w:rsidRDefault="00325619">
      <w:r>
        <w:separator/>
      </w:r>
    </w:p>
  </w:endnote>
  <w:endnote w:type="continuationSeparator" w:id="0">
    <w:p w14:paraId="0BCF5E1F" w14:textId="77777777" w:rsidR="00325619" w:rsidRDefault="00325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29FD0" w14:textId="77777777" w:rsidR="00F46E58" w:rsidRDefault="00750E81">
    <w:pPr>
      <w:jc w:val="right"/>
    </w:pPr>
    <w:r>
      <w:rPr>
        <w:sz w:val="24"/>
        <w:szCs w:val="24"/>
      </w:rPr>
      <w:fldChar w:fldCharType="begin"/>
    </w:r>
    <w:r>
      <w:rPr>
        <w:sz w:val="24"/>
        <w:szCs w:val="24"/>
      </w:rPr>
      <w:instrText>PAGE</w:instrText>
    </w:r>
    <w:r>
      <w:rPr>
        <w:sz w:val="24"/>
        <w:szCs w:val="24"/>
      </w:rPr>
      <w:fldChar w:fldCharType="separate"/>
    </w:r>
    <w:r w:rsidR="00773AEE">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C6E3" w14:textId="77777777" w:rsidR="00310590" w:rsidRDefault="00750E81">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65522" w14:textId="77777777" w:rsidR="00325619" w:rsidRDefault="00325619">
      <w:r>
        <w:separator/>
      </w:r>
    </w:p>
  </w:footnote>
  <w:footnote w:type="continuationSeparator" w:id="0">
    <w:p w14:paraId="1757D183" w14:textId="77777777" w:rsidR="00325619" w:rsidRDefault="00325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C4ED0" w14:textId="77777777" w:rsidR="00F46E58" w:rsidRDefault="00750E81">
    <w:pPr>
      <w:pStyle w:val="Header"/>
      <w:contextualSpacing w:val="0"/>
    </w:pPr>
    <w:r>
      <w:t>Viedokļu pārskats 25-TA-267</w:t>
    </w:r>
    <w:r>
      <w:br/>
      <w:t>Izdrukāts 18.07.2025. 10.42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4E1CA" w14:textId="77777777" w:rsidR="00F46E58" w:rsidRDefault="00750E81">
    <w:pPr>
      <w:pStyle w:val="Header"/>
      <w:contextualSpacing w:val="0"/>
    </w:pPr>
    <w:r>
      <w:t>Viedokļu pārskats 25-TA-267</w:t>
    </w:r>
    <w:r>
      <w:br/>
      <w:t>Izdrukāts 18.07.2025. 10.42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13129"/>
    <w:multiLevelType w:val="hybridMultilevel"/>
    <w:tmpl w:val="1250F1F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86594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58"/>
    <w:rsid w:val="000254EC"/>
    <w:rsid w:val="000732A2"/>
    <w:rsid w:val="000761D5"/>
    <w:rsid w:val="00091349"/>
    <w:rsid w:val="000A0F01"/>
    <w:rsid w:val="000B0042"/>
    <w:rsid w:val="000D1FF3"/>
    <w:rsid w:val="000E1DC8"/>
    <w:rsid w:val="000F0EA8"/>
    <w:rsid w:val="000F1329"/>
    <w:rsid w:val="00142284"/>
    <w:rsid w:val="001643F9"/>
    <w:rsid w:val="001F7B18"/>
    <w:rsid w:val="00270753"/>
    <w:rsid w:val="002E12BA"/>
    <w:rsid w:val="002F11EE"/>
    <w:rsid w:val="00310590"/>
    <w:rsid w:val="00325619"/>
    <w:rsid w:val="003875F0"/>
    <w:rsid w:val="003C63EB"/>
    <w:rsid w:val="00404F29"/>
    <w:rsid w:val="00462919"/>
    <w:rsid w:val="004650FA"/>
    <w:rsid w:val="00470EC4"/>
    <w:rsid w:val="004A5391"/>
    <w:rsid w:val="004B12D2"/>
    <w:rsid w:val="004C4D63"/>
    <w:rsid w:val="004D7499"/>
    <w:rsid w:val="00650326"/>
    <w:rsid w:val="00673B37"/>
    <w:rsid w:val="006942B0"/>
    <w:rsid w:val="006C6FC0"/>
    <w:rsid w:val="006F62C8"/>
    <w:rsid w:val="00750E81"/>
    <w:rsid w:val="00773AEE"/>
    <w:rsid w:val="007A0011"/>
    <w:rsid w:val="008213E9"/>
    <w:rsid w:val="00831F26"/>
    <w:rsid w:val="00837240"/>
    <w:rsid w:val="008D0933"/>
    <w:rsid w:val="008D675E"/>
    <w:rsid w:val="008F0805"/>
    <w:rsid w:val="008F2639"/>
    <w:rsid w:val="00945718"/>
    <w:rsid w:val="00946546"/>
    <w:rsid w:val="00964B8D"/>
    <w:rsid w:val="009D53DE"/>
    <w:rsid w:val="009E794B"/>
    <w:rsid w:val="00A32969"/>
    <w:rsid w:val="00A7514A"/>
    <w:rsid w:val="00AF1EED"/>
    <w:rsid w:val="00B13EC9"/>
    <w:rsid w:val="00B86C5C"/>
    <w:rsid w:val="00B92613"/>
    <w:rsid w:val="00BE3BAD"/>
    <w:rsid w:val="00C01CB3"/>
    <w:rsid w:val="00C03035"/>
    <w:rsid w:val="00C52F0E"/>
    <w:rsid w:val="00C545DF"/>
    <w:rsid w:val="00CD520B"/>
    <w:rsid w:val="00CE4677"/>
    <w:rsid w:val="00CF0333"/>
    <w:rsid w:val="00D13EF7"/>
    <w:rsid w:val="00D36343"/>
    <w:rsid w:val="00D66018"/>
    <w:rsid w:val="00E67A44"/>
    <w:rsid w:val="00E9084E"/>
    <w:rsid w:val="00EF33A6"/>
    <w:rsid w:val="00F005FB"/>
    <w:rsid w:val="00F012F0"/>
    <w:rsid w:val="00F0660E"/>
    <w:rsid w:val="00F46E58"/>
    <w:rsid w:val="00F577C3"/>
    <w:rsid w:val="00FC2972"/>
    <w:rsid w:val="00FF0287"/>
    <w:rsid w:val="00FF7B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ECCE"/>
  <w15:docId w15:val="{9D10B4CC-062C-4FAD-AFD6-AB6A40881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8798</Words>
  <Characters>5016</Characters>
  <Application>Microsoft Office Word</Application>
  <DocSecurity>4</DocSecurity>
  <Lines>41</Lines>
  <Paragraphs>27</Paragraphs>
  <ScaleCrop>false</ScaleCrop>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viedoklu_parskats_25-TA-267.docx</dc:title>
  <dc:creator>Ilze Doniņa</dc:creator>
  <cp:lastModifiedBy>Ilze Doniņa</cp:lastModifiedBy>
  <cp:revision>2</cp:revision>
  <dcterms:created xsi:type="dcterms:W3CDTF">2025-07-30T14:04:00Z</dcterms:created>
  <dcterms:modified xsi:type="dcterms:W3CDTF">2025-07-30T14:04:00Z</dcterms:modified>
</cp:coreProperties>
</file>