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18. janvāra noteikumos Nr. 55 "Noteikumi par speciālo līdzekļu veidiem un to lietošanas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2024.gada11.jūnija sēdes protokola Nr.24, 45. § " Likumprojekts "Nodokļu un muitas policijas likums"" 6.2.apakšpunktā dotais uzdevums Finanšu ministrijai sadarbībā ar Iekšlietu  ministriju sagatavot un finanšu ministram līdz 2025. gada 1. jūnijam noteiktā kārtībā iesniegt izskatīšanai Ministru kabinetā grozījumus Ministru kabineta 2011.gada 18. janvāra noteikumos Nr. 55 "Noteikumi par speciālo līdzekļu veidiem un to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Saeimā 2024.gada 31.oktobrī pieņemto Nodokļu un muitas policijas  likuma, kas stāsies spēkā 2026.gada 1.janvārī, 9.panta ceturto daļu Nodokļu un muitas policijai atļautos speciālo līdzekļu veidus, to glabāšanas, nēsāšanas un lietošanas kārtību nosaka Ministru kabinets. Ministru kabineta noteikumu projekts "Grozījumi Ministru kabineta 2011.gada 18.janvāra noteikumos Nr. 55 “Noteikumi par speciālo līdzekļu veidiem un to lietošanas kārtību” (turpmāk – Noteikumu projekts) ir viens no tiesību aktu projektiem, kas izstrādāts, lai īstenotu Ministru kabineta atbalstīto Valsts ieņēmumu dienesta reorganizāciju un Nodokļu un muitas policijas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speciālo līdzekļu veidus, kurus atļauts lietot Nodokļu un muitas policijas ierēdņiem.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vienlaikus ar Nodokļu un muitas policijas likumu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Valsts ieņēmumu dienesta (turpmāk – VID) patstāvīgajām struktūrvienībām un spēkā esošs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ieņēmumu dienestu”, kura 16.</w:t>
      </w:r>
      <w:r w:rsidR="00000000" w:rsidRPr="00000000" w:rsidDel="00000000">
        <w:rPr>
          <w:vertAlign w:val="superscript"/>
          <w:rtl w:val="0"/>
        </w:rPr>
        <w:t xml:space="preserve">1</w:t>
      </w:r>
      <w:r w:rsidR="00000000" w:rsidRPr="00000000" w:rsidDel="00000000">
        <w:rPr>
          <w:rtl w:val="0"/>
        </w:rPr>
        <w:t xml:space="preserve"> panta trešajā daļā un 16.</w:t>
      </w:r>
      <w:r w:rsidR="00000000" w:rsidRPr="00000000" w:rsidDel="00000000">
        <w:rPr>
          <w:vertAlign w:val="superscript"/>
          <w:rtl w:val="0"/>
        </w:rPr>
        <w:t xml:space="preserve">6</w:t>
      </w:r>
      <w:r w:rsidR="00000000" w:rsidRPr="00000000" w:rsidDel="00000000">
        <w:rPr>
          <w:rtl w:val="0"/>
        </w:rPr>
        <w:t xml:space="preserve"> panta trešās daļas 5. punktā  ir noteiktas VID Iekšējās drošības pārvaldes un nodokļu un muitas policijas ierēdņu (darbinieku) tiesības lietot fizisku spēku un speciālos līdzekļus,  un atļautos speciālo līdzekļu veidus, to glabāšanas un nēsāšanas un lietošanas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4. februāra noteikumi Nr. 65 “Noteikumi par speciālo līdzekļu veidiem un to glabāšanas, nēsāšanas un lietošanas kārtību Valsts ieņēmumu dienestā” (turpmāk – Noteikumi Nr. 65), kas nosaka VID Nodokļu un muitas policijas ierēdņu (darbinieku) un Iekšējās drošības pārvaldes ierēdņu atļautos speciālo līdzekļu veidus, to glabāšanas, nēsāšanas un lietošanas kārtību.  Noteikumi Nr. 65 izdoti saskaņā ar likuma “Par Valsts ieņēmumu dienestu” 16.</w:t>
      </w:r>
      <w:r w:rsidR="00000000" w:rsidRPr="00000000" w:rsidDel="00000000">
        <w:rPr>
          <w:vertAlign w:val="superscript"/>
          <w:rtl w:val="0"/>
        </w:rPr>
        <w:t xml:space="preserve">1</w:t>
      </w:r>
      <w:r w:rsidR="00000000" w:rsidRPr="00000000" w:rsidDel="00000000">
        <w:rPr>
          <w:rtl w:val="0"/>
        </w:rPr>
        <w:t xml:space="preserve"> panta trešo daļu un 16.</w:t>
      </w:r>
      <w:r w:rsidR="00000000" w:rsidRPr="00000000" w:rsidDel="00000000">
        <w:rPr>
          <w:vertAlign w:val="superscript"/>
          <w:rtl w:val="0"/>
        </w:rPr>
        <w:t xml:space="preserve">6</w:t>
      </w:r>
      <w:r w:rsidR="00000000" w:rsidRPr="00000000" w:rsidDel="00000000">
        <w:rPr>
          <w:rtl w:val="0"/>
        </w:rPr>
        <w:t xml:space="preserve"> panta trešās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6. februāra sēdē (protokols Nr. 6, 33.§, 1., 3., 4., 5. punkts) Ministru kabinets izskatīja un pieņēma zināšanai Finanšu ministrijas izstrādāto informatīvo ziņojumu “Par Valsts ieņēmumu dienesta darbības pilnveides pasākumiem” un nolēma atbalstīt informatīvajā ziņojumā ietvertos priekšlikumus par VID reorganizāciju, saskaņā ar kuriem paredzēts VID Nodokļu un muitas policijas pārvaldes funkcijas un uzdevumus nodot finanšu ministra pārraudzībā izveidotajai tiešās pārvaldes iestādei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doto uzdevumu ir izstrādāts un 2024. gada 31. oktobrī Saeimā pieņemts Nodokļu un muitas policijas likums, kas stāsies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pieņemti likumprojekti “Valsts ieņēmumu dienesta likums” (Nr. 644/Lp14) un “Nodokļu un muitas policijas likums” (Nr. 645/Lp14). Likumprojekta “Valsts ieņēmumu dienesta likums” (Nr. 644/Lp14) pārejas noteikumi noteic, ka ar šā likuma spēkā stāšanos spēku zaudē likums "Par Valsts ieņēmumu dienestu". Abi minētie likumi stājas spēkā 2026. gada 1. janvārī. Tādējādi Noteikumu Nr. 65 tiesību normas attiecībā uz VID nodokļu un muitas policiju zaudē spēku ar dienu, kad spēku zaudējusi likuma norma, uz kuras pamata noteikumi ir izdoti. Savukārt Nodokļu un muitas policijas likuma 9. panta ceturtajā daļā Ministru kabinetam dots pilnvarojums noteikt Nodokļu un muitas policijai atļautos speciālo līdzekļu veidus, to glabāšanas, nēsāšanas un lietošanas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Nodokļu un muitas policijas likuma, kas stāsies spēkā 2026.gada 1.janvārī, 9. panta ceturtajā daļā noteikto pilnvarojumu, un, lai nodrošinātu vienotu regulējumu par speciālos līdzekļu veidiem un to lietošanu, kas jau tiek piemērots attiecībā uz Valsts policijas, Valsts drošības dienestu, pašvaldības policijas, ostas policijas darbiniekiem un robežsargiem, izstrādāts Noteikumu projekts, kas paredz veikt grozījumus Ministru kabineta 2011.gada 18.janvāra noteikumos Nr.55 “Noteikumi par speciālo līdzekļu veidiem un to lietošanas kārtību”, iekļaujot vienotā regulējumā arī Nodokļu un muitas policiju. Noteikumu projektā tehniski saglabāts vispārējais tiesiskais regulējums atsaucoties uz Noteikumos Nr. 65  noteikto par VID Nodokļu un muitas policijas pārvaldes ierēdņiem  atļautajiem speciālajiem līdzekļiem, to glabāšanu, nēsāšanu un lietošanu, un atbilstoši precizējot atļauto elektrošoka ierīču veidu saskaņā ar Ieroču aprites likumā noteikto speciālo līdzekļu uzskatījumu. Noteikumu projektā precizēta sasiešanas līdzekļu un roku dzelžu lietošana, nosakot, ka pārvietojot personu kājām, tās rokas sasien vai saslēdz rokudzelžos priekšpusē vai aizmugurē, Noteikumi paredzēja personas rokas sasiet vai saslēgt roku dzelžos tikai aizmugurē. Vērtējot roku dzelžu lietošanas kārtību un gadījumus, kuros tos atļauts pielietot konstatēts, ka aizturētās vai konvojējamās personas roku saslēgšana tikai aizmugurē nav lietderīga, jo katra speciālo līdzekļu pielietošanas intensitāte un veids ir vērtējams individuāli, ņemot vērā gan vietu un apstākļus, kur tiek pārvietota persona, gan iespējamo apdraudējuma līmeni. Ņemot vērā, ka Noteikumi jau šobrīd paredz, ka lēmums par roku dzelžu lietošanu tiek pieņemts patstāvīgi, lietderīgi veikt atbilstošos grozījumus, paredzot,  ka pārvietojot personu kājām, tās rokas sasien vai saslēdz rokudzelžos priekšpusē vai aizmugurē.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neskar sabiedrībai nozīmīgas iniciatīvas un procesus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25-TA-561</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25-TA-561</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anotācija_(ex_ante)_25-TA-561.docx</dc:title>
</cp:coreProperties>
</file>

<file path=docProps/custom.xml><?xml version="1.0" encoding="utf-8"?>
<Properties xmlns="http://schemas.openxmlformats.org/officeDocument/2006/custom-properties" xmlns:vt="http://schemas.openxmlformats.org/officeDocument/2006/docPropsVTypes"/>
</file>