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(turpmāk – Noteikumu projekts), lai pilnveidotu atbalsta nosacījumus eksporta veicināšanas darbībām, veikt izmaiņas lielo starptautisko sporta pasākumu atbalsta sniegšanas kārtībā, precizēt pievienotās vērtības nodokļa attiecināmības nosacījumus, lai veicinātu vienotu un nepārprotamu tā interpretāciju, precizēt nosacījumus attiecībā uz atbalsta piešķiršanu divējāda lietojuma produktiem.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turpināt nodrošināt finansējuma pieejamību komersantiem biznesa ideju īstenošanai un uzņēmējdarbības attīstībai Latvijā, pilnveidot atbalsta regulējumu komersantu eksporta veicināšanai, precizēt nosacījumus atbalsta saņemšanai lielo sporta pasākumu atbalsta aktivitātēm, papildināt pievienotās vērtības nodokļa attiecināšanas regulējumu, ka arī precizēt nosacījumus attiecībā uz atbalsta piešķiršanu divējāda lietojuma produktiem.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jūlijā tika pieņemti Ekonomikas ministrijas virzītie Ministru kabineta 2023. gada 13. jūlija noteikumi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(turpmāk - MK noteikumi Nr. 407) ar mērķi nodrošināt finansējuma pieejamību biznesa idejas īstenošanai un uzņēmējdarbības attīstībai Latvijā,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pasākuma “Atbalsts MVU inovatīvas uzņēmējdarbības attīstībai” (turpmāk – 1.2.3.1. pasākums) ietvaros tiek nodrošināts finanšu un nefinanšu atbalsts inovāciju motivācijai, biznesa inkubācijai un eksporta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Investīciju un attīstības aģentūras (turpmāk – LIAA) operatīvajiem datiem, līdz 2026. gada 31. martam 1.2.3.1. pasākuma ietvaros sasniegti šādi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atbalstītie uzņēmumi (tai skaitā: mikrouzņēmumi, mazi, vidēji un lieli uzņēmumi) 1 248 (695 eksporta veicināšanā, 433 biznesa inkubācijā un 120 inovāciju motivācijā);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grantiem atbalstīti uzņēmumi – 799 (600 eksporta veicināšanā, 199 biznesa inkubācijā);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nefinanšu atbalstu saņēmusi uzņēmumi – 842 (289 eksporta veicināšanā, 433 biznesa inkubācijā un 120 inovāciju motivācijā).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 noteikumu Nr.407 īstenošanas progresu, konstatēta nepieciešamība veikt grozījumus atbalsta programmas nosacījumos, lai nodrošinātu efektīvāku un mērķtiecīgāku piešķirtā finansējuma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pasākuma ietvaros pieejamais finansējums ir 87 249 026 </w:t>
      </w:r>
      <w:r w:rsidR="00000000" w:rsidRPr="00000000" w:rsidDel="00000000">
        <w:rPr>
          <w:i w:val="1"/>
          <w:rtl w:val="0"/>
        </w:rPr>
        <w:t xml:space="preserve">euro</w:t>
      </w:r>
      <w:r w:rsidR="00000000" w:rsidRPr="00000000" w:rsidDel="00000000">
        <w:rPr>
          <w:rtl w:val="0"/>
        </w:rPr>
        <w:t xml:space="preserve">, savukārt LIAA ar sadarbības iestādi ir noslēgusi vienošanos par projekta īstenošanu 65 983 919 </w:t>
      </w:r>
      <w:r w:rsidR="00000000" w:rsidRPr="00000000" w:rsidDel="00000000">
        <w:rPr>
          <w:i w:val="1"/>
          <w:rtl w:val="0"/>
        </w:rPr>
        <w:t xml:space="preserve">euro </w:t>
      </w:r>
      <w:r w:rsidR="00000000" w:rsidRPr="00000000" w:rsidDel="00000000">
        <w:rPr>
          <w:rtl w:val="0"/>
        </w:rPr>
        <w:t xml:space="preserve">apmērā.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Eiropas Savienības kohēzijas politikas programmas 2021.-2027.gadam nosacījumiem, katras prioritātes ietvaros dalījumā pa Eiropas Savienības (turpmāk – ES) fondiem ir nosakāms elastības finansējums. Elastības finansējums ir kļuvis pieejams ES fondu projektu atlasēm ar 2025.gada 15.decembri, kad saņemts Eiropas Komisijas lēmums par Latvijas iesniegto vidusposma pārskatu un aktuālo elastības finansējuma sadalījumu (turpmāk – Eiropas Komisijas lēmums). Līdz ar to stājas spēkā MK noteikumu Nr.407 7.punkts, un LIAA kā finansējuma saņēmējs var plānot pasākuma īstenošanai kopējo finansējumu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pasākuma ietvaros LIAA sniedz atbalstu komersantu eksporta veicināšanai, finansējot dažādas aktivitātes, tostarp tirgus pētījumu veikšanu, mārketinga materiālu izstrādi, reklāmas kampaņu izstrādi un īstenošanu, eksporta stratēģiju izstrādi, telemārketingu un citas līdzīgas darbības, kā arī aktivitātes ar tiešu ārējo tirgu apguves raksturu, piemēram, dalību starptautiskās izstādēs, konferencēs, kontaktbiržās un produktu sertificēšanu.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1.2.3.1. pasākuma ietvaros pieejamais finansējums eksporta veicināšanas pasākumiem ir ierobežots, tādēļ nepieciešama stingrāka izlietojuma fokuss uz aktivitātēm ar augstāku ekonomisko atdevi, skaidri identificētiem rezultātiem un pārbaudāmu ietekmi. Ņemot vērā minēto, nepieciešams izslēgt vai precizēt atbalstāmās darbības, attiecībā uz kurām konstatēti riski, ka publiskais finansējums netiek izmantots mērķtiecīgi vai nesniedz būtisku ieguldījumu projekta mērķu sasniegšanā. Līdz ar to nepieciešams pārskatīt eksporta veicināšanas atbalsta ietvaros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26. augustā tika pieņemti Ministru kabineta noteikumi Nr. 527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ar ko gala labuma guvēju atbalstāmajās darbībās tika iekļauts atbalsts starptautisku sporta pasākumu organizēšanai, kas var parādīt ietekmi Latvijas tautsaimniecībā vismaz 6 000 000 </w:t>
      </w:r>
      <w:r w:rsidR="00000000" w:rsidRPr="00000000" w:rsidDel="00000000">
        <w:rPr>
          <w:i w:val="1"/>
          <w:rtl w:val="0"/>
        </w:rPr>
        <w:t xml:space="preserve">euro </w:t>
      </w:r>
      <w:r w:rsidR="00000000" w:rsidRPr="00000000" w:rsidDel="00000000">
        <w:rPr>
          <w:rtl w:val="0"/>
        </w:rPr>
        <w:t xml:space="preserve">apmērā. Šāda atbalsta iekļaušana 1.2.3.1. pasākumā bija jāskaņo ar Eiropas Komisiju. Ekonomikas ministrija 2025. gada 20.oktobrī saņēma Eiropas Komisijas atbildi par šāda atbalsta nesaskaņošanu. Līdz ar to ar Noteikumu projektu nepieciešams svītrot šāda atbalsta saņemšanu un ar to saistītos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2025. gada 1. jūliju, mazie uzņēmēji un saimnieciskās darbības veicēji, kas atbilst noteiktiem kritērijiem, var pieteikties un izmantot īpašu reģistrācijas kārtību Valsts ieņēmumu dienesta (turpmāk – VID) ar pievienotās vērtības nodokli (turpmāk – PVN) apliekamo personu reģistrā (turpmāk – PVN maksātāju reģistrs). Jaunā kārtība ļauj vienkārši administrēt un samaksāt PVN. Šajā kārtībā reģistrētās personas maksā PVN tikai atsevišķos gadījumos – par saņemtajiem pakalpojumiem un/vai iepirktajām precēm, bet PVN nav jāmaksā par gūtajiem ieņēmumiem no pakalpojumu vai preču pārdošanas. Jaunās kārtības izmantošana ir brīvprātīga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Reģistrēšanos īpašajā PVN reģistrēšanās kārtībā paredz Pievienotās vērtības nodokļa likuma 139.</w:t>
      </w:r>
      <w:r w:rsidR="00000000" w:rsidRPr="00000000" w:rsidDel="00000000">
        <w:rPr>
          <w:vertAlign w:val="superscript"/>
          <w:rtl w:val="0"/>
        </w:rPr>
        <w:t xml:space="preserve">2</w:t>
      </w:r>
      <w:r w:rsidR="00000000" w:rsidRPr="00000000" w:rsidDel="00000000">
        <w:rPr>
          <w:rtl w:val="0"/>
        </w:rPr>
        <w:t xml:space="preserve"> pants, kas stājās spēkā 2025.gada 1.jūlijā. Īpašā PVN reģistrācijas kārtība ir paredzēta mazajiem uzņēmumiem, kuriem nav iestājies obligāts pienākums reģistrēties VID PVN maksātāju reģistrā vispārīgajā kārtībā. Tas nozīmē, ka apgrozījums kalendāra gadā nav sasniedzis 50 000 </w:t>
      </w:r>
      <w:r w:rsidR="00000000" w:rsidRPr="00000000" w:rsidDel="00000000">
        <w:rPr>
          <w:i w:val="1"/>
          <w:rtl w:val="0"/>
        </w:rPr>
        <w:t xml:space="preserve">euro</w:t>
      </w:r>
      <w:r w:rsidR="00000000" w:rsidRPr="00000000" w:rsidDel="00000000">
        <w:rPr>
          <w:rtl w:val="0"/>
        </w:rPr>
        <w:t xml:space="preserve"> un šāds slieksnis nav bijis sasniegts arī iepriekšējā gadā. Izvēloties īpašo PVN reģistrācijas kārtību, nebūs tiesību atskaitīt priekšnodokli.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attiecināt PVN komersantiem, kas atbilst īpašajam nodokļu režīmam, nepieciešams pārskatīt PVN attiecināšanas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 - 2027. gada plānošanas periodā mainījusies pieeja un Eiropas reģionālās attīstības fonda atbalstam kvalificējas komersanti, kas attīsta aizsardzības nozīmes produktus, kā arī ņemot vērā plānotās izmaiņas eksporta veicināšanas aktivitātes kvalificēšanās nosacījumos, ar Noteikumu projektu jāpapildina anotācijā, tādējādi atceļot ierobežojumu, kas liedz komersantam turpināt saņemt struktūrfondu atbalstu, ja produkts vai tehnoloģija kļūst tikai par aizsardzības nozīmes produktu.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Elastības finansējuma atbrīvošana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15. decembrī Eiropas Komisija pieņēma lēmumu par Latvijas iesniegto vidusposma pārskatu un aktuālo elastības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projektu kopējam pieejamajam finansējumam tiek pievienots elastības finansējums 21 265 107</w:t>
      </w:r>
      <w:r w:rsidR="00000000" w:rsidRPr="00000000" w:rsidDel="00000000">
        <w:rPr>
          <w:i w:val="1"/>
          <w:rtl w:val="0"/>
        </w:rPr>
        <w:t xml:space="preserve"> 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1.2.3.1. pasākuma ietvaros plānotais kopējais pieejamais finansējums ir 87 249 026 </w:t>
      </w:r>
      <w:r w:rsidR="00000000" w:rsidRPr="00000000" w:rsidDel="00000000">
        <w:rPr>
          <w:i w:val="1"/>
          <w:rtl w:val="0"/>
        </w:rPr>
        <w:t xml:space="preserve">euro</w:t>
      </w:r>
      <w:r w:rsidR="00000000" w:rsidRPr="00000000" w:rsidDel="00000000">
        <w:rPr>
          <w:rtl w:val="0"/>
        </w:rPr>
        <w:t xml:space="preserve">, tai skaitā ERAF finansējums – 74 161 672 </w:t>
      </w:r>
      <w:r w:rsidR="00000000" w:rsidRPr="00000000" w:rsidDel="00000000">
        <w:rPr>
          <w:i w:val="1"/>
          <w:rtl w:val="0"/>
        </w:rPr>
        <w:t xml:space="preserve">euro</w:t>
      </w:r>
      <w:r w:rsidR="00000000" w:rsidRPr="00000000" w:rsidDel="00000000">
        <w:rPr>
          <w:rtl w:val="0"/>
        </w:rPr>
        <w:t xml:space="preserve"> un valsts budžeta finansējums – 13 087 354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tiek svītrots MK noteikumu Nr. 407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Gala labuma guvēju atbalstāmo darbību pārskatīšana eksporta veicināšanas aktivitātē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pasākuma ietvaros sniegtā atbalsta piemērošanā ir konstatēts, ka finansējuma saņēmējs jeb LIAA daļai līdz šim atbalstīto aktivitāšu rezultātu izcelsmi, izstrādes procesu un praktisko izmantošanu nevar objektīvi verificēt, kā arī šo aktivitāšu ietekme uz eksporta rezultātiem bieži ir netieša un grūti izmērāma. Ņemot vērā digitālo risinājumu attīstību un satura ģenerēšanas iespējas ar mākslīgā intelekta palīdzību, pieaug risks, ka atsevišķu aktivitāšu ietvaros iesniegto rezultātu faktiskā izstrāde un pievienotā vērtība nav pietiekami pārbaudāma, kas palielina neatbilstību un publiskā finansējuma neefektīvas izmantošanas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finansējumu eksporta veicināšanas grantiem, nepieciešama stingrāka finansējuma koncentrācija uz atbalstāmajām darbībām ar augstāku ekonomisko atdevi un pārbaudāmu rezultātu un ar eksporta attīstību tieši sasaistāmu rezultātu, tostarp dalību starptautiskās izstādēs, biznesa kontaktu veidošanas pasākumos, starptautiskās konferencēs un produktu sertificēšanā.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pārskatīt atbalstāmo darbību klāstu, izslēdzot aktivitātes ar netiešu vai nepārbaudāmu rezultātu un saglabājot atbalstu darbībām, kas nodrošina tiešu komersantu klātbūtni ārējos tirgos, starptautisko sadarbību un izmērāmu ieguldījumu eksporta attīstībā.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Noteikumu projektu tiek svītrotas šādas atbalstāmās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Preču zīmes stratēģijas izstrāde</w:t>
      </w:r>
      <w:r w:rsidR="00000000" w:rsidRPr="00000000" w:rsidDel="00000000">
        <w:rPr>
          <w:rtl w:val="0"/>
        </w:rPr>
        <w:t xml:space="preserve"> – ņemot vērā projekta mērķtiecīgu eksporta veicināšanu, tika izvērtētas plānotās aktivitātes un pozicionētas tās, kurām ir izmērāma ietekme uz eksporta attīstību. Tādēļ tika pārskatītas aktivitātes, kuru pienesums eksportam ir netiešs vai kuras šobrīd iespējams efektīvi nodrošināt ar mākslīgā intelekta risinājumu palīdzību, kā arī tās, kurām ir ierobežotas iespējas objektīvi novērtēt to pievienoto vērtību projekta ietvaros. Attiecīgi projekta resursi tiek koncentrēti uz tām darbībām, kas sniedz tiešu un izmērāmu ieguldījumu eksporta veicināšanā.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zīmes izstrāde galvenokārt ir uzskatāma par uzņēmuma mārketinga un zīmola attīstības aktivitāti, kuras ietekme uz eksporta veicināšanu pārsvarā ir netieša un ilgtermiņā izpaužama. Lai gan kvalitatīvi izstrādāta preču zīme var veicināt uzņēmuma atpazīstamību un konkurētspēju, tās izveide pati par sevi nenodrošina tūlītēju piekļuvi ārvalstu tirgiem vai tieši izmērāmus eksporta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zīmes ietekme uz eksporta attīstību lielā mērā ir saistīta ar turpmākajām uzņēmuma aktivitātēm un stratēģisko rīcību, kas bieži vien sniedzas ārpus konkrētā projekta ietvara. Līdz ar to šādu ieguldījumu tiešais pienesums eksporta veicināšanā var būt grūtāk precīzi izmērāms.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Reklāmas kampaņas izstrāde</w:t>
      </w:r>
      <w:r w:rsidR="00000000" w:rsidRPr="00000000" w:rsidDel="00000000">
        <w:rPr>
          <w:rtl w:val="0"/>
        </w:rPr>
        <w:t xml:space="preserve"> – ņemot vērā mākslīgā intelekta rīku plašo pieejamību un dažādu digitālo rīku plašas izmantošanas iespējas, reklāmas kampaņu izstrāde un ieviešana bieži ir standartizējams un ar digitāliem rīkiem viegli reproducējams pakalpojums, kas jebkuram lietotājam ir brīvi pieejams bez maksas vai par ļoti zemām izmaksām. Vienlaikus LIAA nav iespējams viennozīmīgi pārliecināties, ka attiecīgie iesniegtie nodevumi ir faktiski iegādāti vai izstrādāti ārpakalpojuma ietvaros, nevis ģenerēti ar automatizētu rīku palīdzību. Tas būtiski apgrūtina gan izmaksu pamatotības, gan rezultātu kvalitātes un atbilstības izvērtēšanu, lai pārliecinātos par finansējuma lietderīgu izmantošanu. Tāpat secināts, ka iesniegtie nodevumi bieži ir vispārīgi un teorētiski, bez tiešas praktiskas izmantojamības uzņēmuma eksporta attīstībā, turklāt šo aktivitāšu rezultātu ietekme lielā mērā ir atkarīga no turpmākām uzņēmuma darbībām, kuras projekta ietvaros netiek kontrolētas. Papildus tam reklāmas kampaņas izstrāde uzskatāma par netiešu atbalsta formu, kuras ietekme uz eksporta aktivitātēm ir atkarīga no turpmākām uzņēmuma darbībām, kas projekta ietvaros netiek kontrolētas vai uzraudzītas. Līdz ar to ir ierobežotas iespējas objektīvi novērtēt šādu aktivitāšu efektivitāti un tiešo pienesumu eksporta veicināšanā.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Mērķa tirgus pētījuma izstrāde un iegāde</w:t>
      </w:r>
      <w:r w:rsidR="00000000" w:rsidRPr="00000000" w:rsidDel="00000000">
        <w:rPr>
          <w:rtl w:val="0"/>
        </w:rPr>
        <w:t xml:space="preserve"> – iesniegtie nodevumi bieži ir vispārīgi, teorētiski un praktiski neizmantojami uzņēmuma izaugsmei vai eksporta veicināšanai, kā arī ģenerēti ar mākslīgā intelekta palīdzību. Nav iespējams objektīvi noteikt to  faktisko izmantošanu, sasniedzamību vai ietekmi uz eksporta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Ārvalstu atbilstošās nozares eksperta piesaiste eksporta tirgos eksporta tirgus stratēģijas izstrādei</w:t>
      </w:r>
      <w:r w:rsidR="00000000" w:rsidRPr="00000000" w:rsidDel="00000000">
        <w:rPr>
          <w:rtl w:val="0"/>
        </w:rPr>
        <w:t xml:space="preserve"> – eksporta stratēģijas izstrāde ir netieša atbalsta forma, kuras ietekme uz eksporta aktivitātēm ir atkarīga no turpmākām uzņēmuma darbībām, kas projekta ietvaros netiek kontrolētas vai uzraudzītas. Tas palielina risku, ka publiskais finansējums netiek izmantots mērķtiecīgi vai nesniedz būtisku ieguldījumu projekta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atbalstāmo darbību svītrošanu, ar Noteikumu projektu tiek precizēts MK noteikumu Nr.407 51.punkts, noņemot atsauces uz svītrotajiem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tiek svītrots atbalsts starptautisku sporta pasākumu organizēšanai Latvijā, kur ārvalstu apmeklētāju un (vai) ārvalstu dalībnieku skaits ir ne mazāk kā 5 000 un ietekme uz Latvijas tautsaimniecību ir vismaz 6  000 000 </w:t>
      </w:r>
      <w:r w:rsidR="00000000" w:rsidRPr="00000000" w:rsidDel="00000000">
        <w:rPr>
          <w:i w:val="1"/>
          <w:rtl w:val="0"/>
        </w:rPr>
        <w:t xml:space="preserve">euro</w:t>
      </w:r>
      <w:r w:rsidR="00000000" w:rsidRPr="00000000" w:rsidDel="00000000">
        <w:rPr>
          <w:rtl w:val="0"/>
        </w:rPr>
        <w:t xml:space="preserve"> apmērā. Grozījumi veikti, ņemot vērā Eiropas Komisijas 2025. gada 20. oktobra atbildi Ekonomikas ministrijai, ka nesaskaņo šādas atbalstāmās darbības iekļaušanu 1.2.3.1. pasākumā. Attiecīgi ar Noteikumu projektu tiek svītrots MK noteikumu Nr. 407. 45.14. apakšpunkts, 49.</w:t>
      </w:r>
      <w:r w:rsidR="00000000" w:rsidRPr="00000000" w:rsidDel="00000000">
        <w:rPr>
          <w:vertAlign w:val="superscript"/>
          <w:rtl w:val="0"/>
        </w:rPr>
        <w:t xml:space="preserve">1</w:t>
      </w:r>
      <w:r w:rsidR="00000000" w:rsidRPr="00000000" w:rsidDel="00000000">
        <w:rPr>
          <w:rtl w:val="0"/>
        </w:rPr>
        <w:t xml:space="preserve">., 70.</w:t>
      </w:r>
      <w:r w:rsidR="00000000" w:rsidRPr="00000000" w:rsidDel="00000000">
        <w:rPr>
          <w:vertAlign w:val="superscript"/>
          <w:rtl w:val="0"/>
        </w:rPr>
        <w:t xml:space="preserve">1</w:t>
      </w:r>
      <w:r w:rsidR="00000000" w:rsidRPr="00000000" w:rsidDel="00000000">
        <w:rPr>
          <w:rtl w:val="0"/>
        </w:rPr>
        <w:t xml:space="preserve">., 71.</w:t>
      </w:r>
      <w:r w:rsidR="00000000" w:rsidRPr="00000000" w:rsidDel="00000000">
        <w:rPr>
          <w:vertAlign w:val="superscript"/>
          <w:rtl w:val="0"/>
        </w:rPr>
        <w:t xml:space="preserve">1</w:t>
      </w:r>
      <w:r w:rsidR="00000000" w:rsidRPr="00000000" w:rsidDel="00000000">
        <w:rPr>
          <w:rtl w:val="0"/>
        </w:rPr>
        <w:t xml:space="preserve"> un 72.</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skaidru nosacījumu atbalstāmo sporta pasākumu organizēšanai, veikts tehnisks precizējums MK noteikumu Nr. 407 49.punktā, nosakot, ka starptautiskā sporta pasākuma ilgums ir vismaz divas dienas pēc kārtas. Prasība nodrošina, ka atbalsts tiek piešķirts pasākumiem ar pietiekamu norises apjomu un nozīmību, veicina ārvalstu dalībnieku un apmeklētāju piesaisti un palielina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attiecināšana īpašā kārtā reģistrētajiem nodokļa maksātājiem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Nr.407 77. punktu pasākuma atbalstāmo darbību ietvaros PVN ir attiecināms tiešajām attiecināmajām izmaksām atbilstoši Regulas Nr. 2021/1060 64. panta 1. punkta c) apakšpunkta nosacījumiem, ja tas nav atgūstams saskaņā ar  normatīvajiem aktiem nodokļu politikas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Nr.407 78.punktā nosaka, ka gala labuma guvējs, kurš nav PVN maksātājs, var attiecināt pievienotās vērtības nodokļa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139.</w:t>
      </w:r>
      <w:r w:rsidR="00000000" w:rsidRPr="00000000" w:rsidDel="00000000">
        <w:rPr>
          <w:vertAlign w:val="superscript"/>
          <w:rtl w:val="0"/>
        </w:rPr>
        <w:t xml:space="preserve">2</w:t>
      </w:r>
      <w:r w:rsidR="00000000" w:rsidRPr="00000000" w:rsidDel="00000000">
        <w:rPr>
          <w:rtl w:val="0"/>
        </w:rPr>
        <w:t xml:space="preserve"> panta devītajā daļā noteikts, ka īpašā kārtībā reģistrētam nodokļa maksātājam nav tiesību atskaitīt priekšnodokli no valsts budžetā maksājamās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regulējumu, kā arī Regulas Nr. 2021/1060 64. panta 1. punkta c) apakšpunktā noteikto, secināms, ka komersantiem, kuri īpašā kārtībā reģistrēti nodokļa maksātāji, PVN izmaksas projekta ietvaros ir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LIAA pirms PVN izmaksu attiecināšanas, jāpārliecinās par gala labuma guvēja reģistrāciju īpašajā PVN reģistrācijas kārtībā, izmantojot Valsts ieņēmumu dienesta publiski pieejamo datu bāzi.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nosacījumu precizēšana attiecība uz divējāda lietojuma un aizsardzības nozīmes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 - 2027. gada plānošanas periodā mainījusies pieeja un atbalstam var kvalificēties arī komersanti, kas attīsta aizsardzības, tai skaitā duālās nozīmes produktus, kā arī ņemot vērā plānotās izmaiņas eksporta veicināšanas aktivitātes kvalificēšanās nosacījumos, tiek precizēta MK noteikumu Nr. 407 spēkā esošā redakcija, atceļot ierobežojumu komersantam turpināt saņemt struktūrfondu atbalstu, ja produkts vai tehnoloģija kļūst tikai par aizsardzības nozīmes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Parlamenta un Padomes 2025. gada 18. septembra Regulu (ES) 2025/1914, ar ko groza Regulas (ES) 2021/1058 un (ES) 2021/1056 attiecībā uz īpašiem pasākumiem stratēģisku problēmu risināšanai vidusposma pārskatīšanas kontekstā (turpmāk – Regula Nr. 2025/1914) tika ieviesti papildu konkrētie mērķi atbalstam no ERAF, Kohēzijas fonda un Taisnīgas pārkārtošanās fondu (TPF). Ar Regulu Nr. 2025/1914 ieviestie jaunie konkrētie mērķi aptver investīcijas, kas vērstas uz ES konkurētspējas, stratēģiskās autonomijas, teritoriālās un sociālās kohēzijas, noturības un sagatavotības uzlabošanu. Precīzāk, jaunie konkrētie mērķi sniedz iespēju atbalstīt investīcijas ES divējāda lietojuma un aizsardzības spēju stiprināšanā, kas ļaus risināt ģeopolitiskas problēmas, kā arī investīcijas enerģijas starpsavienotājos un kritiski svarīgās energoinfrastruktūras aizsardzībā nolūkā palielināt ES noturību pret jebkādiem potenciāli nelabvēlīgiem, ar klimatu saistītiem vai nesaistītiem notikumiem un uzlabot ES sagatavotību šādiem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2021/1058 par Eiropas Reģionālās attīstības fondu un Kohēzijas fondu (turpmāk – Regula Nr. 2021/1058) 3. panta 1. punktā c) noteiktajiem politikas mērķiem ERAF atbalsta noturīgās aizsardzības infrastruktūras attīstību, prioritāti piešķir divējāda lietojuma infrastruktūrai, tostarp nolūkā veicināt militāro mobilitāti Savienībā, kā arī uzlabojot civilo sagatavotību. Līdz ar to atbalstu varēs turpināt saņemt komersanti ja produkts vai tehnoloģija kļūst tikai par aizsardzības nozīmes produktu, saskaņā ar Regulā Nr. 2021/1058 un Regulā Nr. 2021/1060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veiktie grozījumi attiecināmi uz gala labuma guvēju pieteiktajām atbalstāmajām darbībām, kas tiks apstiprinātas pēc šo grozījumu spēkā stāšanas dienas. Attiecīgi grozījumi neattieksies uz jau saņemtiem komersantu finanšu atbalsta pieteikumiem, bet tikai jauniem.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Ministru kabinetā finansējuma saņēmējam, jeb LIAA,  divu nedēļu laikā pēc noteikumu spēkā stāšanās jāiesniedz Centrālajai finanšu un līgumu aģentūrai, kā Eiropas Savienības fondu 2021.-2027. gada plānošanas perioda sadarbības iestādei, noslēgtās vienošanās par projekta īstenošanu grozījumus, precizējot arī projekta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Skat.1.3. 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pieņemšānas Ministru kabinetā Finansējuma saņēmējam jeb LIAA divu nedēļu laikā pēc noteikumu spēkā stāšanās jāiesniedz Centrālajai finanšu un līgumu aģentūrai kā Eiropas Savienības fondu 2021.-2027. gada plānošanas perioda sadarbības iestādei noslēgtās vienošanās par projekta īstenošanu grozījumus, precizējot arī projekta stratēģiju.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 komersantus, nodrošinot iespēju saņemt atbalstu biznesa ideju īstenošanai un uzņēmējdarbības attīstībai Latvijā, tādējādi veicinot eksporta pieaugumu atbalstītajos uzņēmumos, vienlaikus pārvirzot finansējumu uz  aktivitātēm, ar augstāku ekonomisko atdevi, skaidri identificētiem rezultātiem un pārbaudāmu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lēmumu, tiek svītrots atbalsts starptautisku sporta pasākumu organizēšanai Latvijā, kuros ārvalstu apmeklētāju vai dalībnieku skaits ir ne mazāks kā 5 000 un kuru ietekme uz Latvijas tautsaimniecību sasniedz vismaz 6 000 000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precizēti nosacījumi pievienotās vērtības nodokļa (PVN) izmaksu attiecināmībai īpašā kārtībā reģistrētiem nodokļa maksātājiem, kā arī noteikts, ka komersanti var turpināt saņemt atbalstu arī gadījumā, ja produkts vai tehnoloģija kļūst par aizsardzības nozīmes produktu.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 komersantus, nodrošinot iespēju saņemt atbalstu biznesa ideju īstenošanai un uzņēmējdarbības attīstībai Latvijā, tādējādi veicinot eksporta pieaugumu atbalstītajos uzņēmumos, vienlaikus pārvirzot finansējumu uz  aktivitātēm, ar augstāku ekonomisko atdevi, skaidri identificētiem rezultātiem un pārbaudāmu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lēmumu, tiek svītrots atbalsts starptautisku sporta pasākumu organizēšanai Latvijā, kuros ārvalstu apmeklētāju vai dalībnieku skaits ir ne mazāks kā 5 000 un kuru ietekme uz Latvijas tautsaimniecību sasniedz vismaz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precizēti nosacījumi pievienotās vērtības nodokļa (PVN) izmaksu attiecināmībai īpašā kārtībā reģistrētiem nodokļa maksātājiem, kā arī noteikts, ka komersanti var turpināt saņemt atbalstu arī gadījumā, ja produkts vai tehnoloģija kļūst par aizsardzības nozīmes produktu.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 komersantus, nodrošinot iespēju saņemt atbalstu biznesa ideju īstenošanai un uzņēmējdarbības attīstībai Latvijā, tādējādi veicinot eksporta pieaugumu atbalstītajos uzņēmumos, vienlaikus pārvirzot finansējumu uz  aktivitātēm, ar augstāku ekonomisko atdevi, skaidri identificētiem rezultātiem un pārbaudāmu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lēmumu, tiek svītrots atbalsts starptautisku sporta pasākumu organizēšanai Latvijā, kuros ārvalstu apmeklētāju vai dalībnieku skaits ir ne mazāks kā 5 000 un kuru ietekme uz Latvijas tautsaimniecību sasniedz vismaz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precizēti nosacījumi pievienotās vērtības nodokļa (PVN) izmaksu attiecināmībai īpašā kārtībā reģistrētiem nodokļa maksātājiem, kā arī noteikts, ka komersanti var turpināt saņemt atbalstu arī gadījumā, ja produkts vai tehnoloģija kļūst par aizsardzības nozīmes produktu.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 komersantus, nodrošinot iespēju saņemt atbalstu biznesa ideju īstenošanai un uzņēmējdarbības attīstībai Latvijā, tādējādi veicinot eksporta pieaugumu atbalstītajos uzņēmumos, vienlaikus pārvirzot finansējumu uz  aktivitātēm, ar augstāku ekonomisko atdevi, skaidri identificētiem rezultātiem un pārbaudāmu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lēmumu, tiek svītrots atbalsts starptautisku sporta pasākumu organizēšanai Latvijā, kuros ārvalstu apmeklētāju vai dalībnieku skaits ir ne mazāks kā 5 000 un kuru ietekme uz Latvijas tautsaimniecību sasniedz vismaz 6 000 000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precizēti nosacījumi pievienotās vērtības nodokļa (PVN) izmaksu attiecināmībai īpašā kārtībā reģistrētiem nodokļa maksātājiem, kā arī noteikts, ka komersanti var turpināt saņemt atbalstu arī gadījumā, ja produkts vai tehnoloģija kļūst par aizsardzības nozīmes produktu.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10 632 554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10 632 553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10 632 554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10 632 553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-1 594 883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-10 632 553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-1 594 883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-10 632 553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-1 594 883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9 037 670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papildus piešķirtais elastības finansējums ir 21 265 107 </w:t>
            </w:r>
            <w:r w:rsidR="00000000" w:rsidRPr="00000000" w:rsidDel="00000000">
              <w:rPr>
                <w:sz w:val="24"/>
                <w:i w:val="1"/>
                <w:rtl w:val="0"/>
              </w:rPr>
              <w:t xml:space="preserve">euro</w:t>
            </w:r>
            <w:r w:rsidR="00000000" w:rsidRPr="00000000" w:rsidDel="00000000">
              <w:rPr>
                <w:sz w:val="24"/>
                <w:rtl w:val="0"/>
              </w:rPr>
              <w:t xml:space="preserve">, tai skaitā ERAF finansējums – 18 075 341 </w:t>
            </w:r>
            <w:r w:rsidR="00000000" w:rsidRPr="00000000" w:rsidDel="00000000">
              <w:rPr>
                <w:sz w:val="24"/>
                <w:i w:val="1"/>
                <w:rtl w:val="0"/>
              </w:rPr>
              <w:t xml:space="preserve">euro</w:t>
            </w:r>
            <w:r w:rsidR="00000000" w:rsidRPr="00000000" w:rsidDel="00000000">
              <w:rPr>
                <w:sz w:val="24"/>
                <w:rtl w:val="0"/>
              </w:rPr>
              <w:t xml:space="preserve"> un valsts budžeta finansējums – 3 189 766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papildus finansējuma 21 265 107 </w:t>
            </w:r>
            <w:r w:rsidR="00000000" w:rsidRPr="00000000" w:rsidDel="00000000">
              <w:rPr>
                <w:sz w:val="24"/>
                <w:i w:val="1"/>
                <w:rtl w:val="0"/>
              </w:rPr>
              <w:t xml:space="preserve">euro</w:t>
            </w:r>
            <w:r w:rsidR="00000000" w:rsidRPr="00000000" w:rsidDel="00000000">
              <w:rPr>
                <w:sz w:val="24"/>
                <w:rtl w:val="0"/>
              </w:rPr>
              <w:t xml:space="preserve">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10 632 554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 10 632 553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nerada papildu administratīvo slogu finansējuma saņēmējam – Latvijas Investīciju un attīstības aģentūrai (LIAA) kā pasākuma īstenotājam. Ar grozījumiem tiek precizēti MK noteikumu Nr. 407 nosacījumi un svītrotas normas, kas vairs nav aktuālas. Ar Noteikumu projektu LIAA tiek piešķirts papildu finansējums komersantu atbalstam, kas izriet no Eiropas Komisijas lēmuma par vidusposma pārskatā iekļauto elastības finansējumu. LIAA nodrošinās ar MK noteikumu Nr. 407 grozījumiem saistīto izmaiņu ieviešanu projekta plānotās kapacitātes ietvaros, tostarp cilvēkresursu ziņā.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26-TA-204</w:t>
    </w:r>
    <w:r>
      <w:br/>
    </w:r>
    <w:r w:rsidR="00000000" w:rsidRPr="00000000" w:rsidDel="00000000">
      <w:rPr>
        <w:rtl w:val="0"/>
      </w:rPr>
      <w:t xml:space="preserve">Izdrukāts 29.07.2026. 22.54 - 10.0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26-TA-204</w:t>
    </w:r>
    <w:r>
      <w:br/>
    </w:r>
    <w:r w:rsidR="00000000" w:rsidRPr="00000000" w:rsidDel="00000000">
      <w:rPr>
        <w:rtl w:val="0"/>
      </w:rPr>
      <w:t xml:space="preserve">Izdrukāts 29.07.2026. 22.54 - 10.0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anotācija_(ex_ante)_26-TA-204.docx</dc:title>
</cp:coreProperties>
</file>

<file path=docProps/custom.xml><?xml version="1.0" encoding="utf-8"?>
<Properties xmlns="http://schemas.openxmlformats.org/officeDocument/2006/custom-properties" xmlns:vt="http://schemas.openxmlformats.org/officeDocument/2006/docPropsVTypes"/>
</file>