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Noteikumu projekts) izstrādāts, izstrādāts, lai veiktu precizējumus pamatojoties uz 2023.gada 13.decembrī Eiropas Komisija (turpmāk – Komisija) apstiprināto un 2023.gada 15.decembrī Eiropas Savienības Oficiālajā Vēstnesī publicēto jauno de minimis atbalsta regulējumu, kā arī precizēts kapitāla atlaides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redakcionālus precizējumus, atbilstoši </w:t>
      </w:r>
      <w:r w:rsidR="00000000" w:rsidRPr="00000000" w:rsidDel="00000000">
        <w:rPr>
          <w:i w:val="1"/>
          <w:rtl w:val="0"/>
        </w:rPr>
        <w:t xml:space="preserve">de minimis </w:t>
      </w:r>
      <w:r w:rsidR="00000000" w:rsidRPr="00000000" w:rsidDel="00000000">
        <w:rPr>
          <w:rtl w:val="0"/>
        </w:rPr>
        <w:t xml:space="preserve">atbalsta regulējuma ietvaram, kā arī noteikt nosacījumus, kas ļauj sasniegt Atveseļošanas un noturības mehānisma plāna 2.2.1.4.i. investīcijas mērķa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Nr.421) nosaka, ka Latvijas komersantiem ir pieejams akciju sabiedrības "Attīstības finanšu institūcija Altum" (turpmāk – sabiedrība “Altum”) atbalsta – aizdevumi ar kapitāla atlaidi digitalizācijas projektu īstenošanai. MK Noteikumi Nr.421 paredz sniegt atbalstu gan ar Komisijas 2014. gada 17. jūnija Regulu (ES) Nr. 651/2014, ar ko noteiktas atbalsta kategorijas atzīst par saderīgām ar iekšējo tirgu, piemērojot Līguma 107. un 108. pantu (turpmāk - Komisijas regula Nr. 651/2014) , gan arī ar 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Komisijas Regula Nr. 1407/2013 ar 2024.gada 1.janvāri zaudējusi spēku, bet ir piemērojama līdz 2024.gada 30.jūnijam atbilstoši tās 7.panta 4.punktā un 8.pantā noteiktajām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Nr.421 grozījumos ir paredzēts, ka no to spēkā stāšanās brīža </w:t>
      </w:r>
      <w:r w:rsidR="00000000" w:rsidRPr="00000000" w:rsidDel="00000000">
        <w:rPr>
          <w:i w:val="1"/>
          <w:rtl w:val="0"/>
        </w:rPr>
        <w:t xml:space="preserve">de minimis</w:t>
      </w:r>
      <w:r w:rsidR="00000000" w:rsidRPr="00000000" w:rsidDel="00000000">
        <w:rPr>
          <w:rtl w:val="0"/>
        </w:rPr>
        <w:t xml:space="preserve"> atbalsts tiks piešķirts ar Komisijas Regulu Nr.2023/2831. Komisijas Regula Nr. 2023/2831 sniedz lielāku elastību izstrādāt un īstenot 2.2.1.4.i. investīciju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vērtējot atbalsta programmas apguvi, ir secināms, ka uzņēmumiem ir aktīva interese par atbalsta piesaisti digitalizācijas projektu attīstībai. Šobrīd sabiedrībā "Altum" kopā saņemti 64 pieteikumi, no tiem 8 noraidīti, tāpat 33 pozitīvi lēmumi par summu 19 721 548 EUR, no tiem 29 noslēgti līgumi par summu 17 649 227 EUR. Papildus sabiedrība "Altum" vērtēšanā šobrīd 23 projekti par kopējo summu 21 269 895 EUR. Kopā rezervētā summa 40 991 443 EUR (pieņemtie lēmumi + vērtēšanā esošie projekti) kopumā vērtējot to profilu secināms, ka tie sniegs nozīmīgu ieguldījumu tautsaimniecībā, kas var palielināt eksporta kapacitāti līdz pat 40 milj. EUR gadā. Projekti tiek īstenoti tādās nozarēs kā metālapstrāde, pārtikas rūpniecība, elektronika, būvniecība, farmācija un kokrūpniecības nozare. MK Noteikumu Nr.421 9.2.3. apakšpunkts paredz ka līdz 2026.gada 30.jūnijam ir jāpiešķir 133 aizdevumi. Līdz ar to secināms, ka pastāv risks iepriekš minētā mērķa nesasniegšanai bez papildus līdzvērtīga finanšu līdzekļu apmēra, un ir nepieciešams pārskatīt atbalsta nosacījumus, novirzot sabiedrības “Altum” šobrīd pieejamos atmaksu finansējuma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1.Integrēt jaunos </w:t>
      </w:r>
      <w:r w:rsidR="00000000" w:rsidRPr="00000000" w:rsidDel="00000000">
        <w:rPr>
          <w:b w:val="1"/>
          <w:i w:val="1"/>
          <w:rtl w:val="0"/>
        </w:rPr>
        <w:t xml:space="preserve">de minimis</w:t>
      </w:r>
      <w:r w:rsidR="00000000" w:rsidRPr="00000000" w:rsidDel="00000000">
        <w:rPr>
          <w:b w:val="1"/>
          <w:rtl w:val="0"/>
        </w:rPr>
        <w:t xml:space="preserve"> nosacījumus, atbilstoši Komisijas Regulai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vērš uzmanību, ka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EUR apmēru, līdz ar to Noteikumu projektā ir veikti tehniski precizējumi palielinot atbalsta apmēru (iepriekš 200 000 EUR apmērā), kā arī atsauce uz regulu aizvietojot 2013.gada 18.decembra Komisijas Regulu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uz Komisijas Regula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ar Noteikumu projektu tiek atrunāta </w:t>
      </w:r>
      <w:r w:rsidR="00000000" w:rsidRPr="00000000" w:rsidDel="00000000">
        <w:rPr>
          <w:i w:val="1"/>
          <w:rtl w:val="0"/>
        </w:rPr>
        <w:t xml:space="preserve">de minimis</w:t>
      </w:r>
      <w:r w:rsidR="00000000" w:rsidRPr="00000000" w:rsidDel="00000000">
        <w:rPr>
          <w:rtl w:val="0"/>
        </w:rPr>
        <w:t xml:space="preserve"> atbalsta uzskaites pieeja, t.i.,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saņemto </w:t>
      </w:r>
      <w:r w:rsidR="00000000" w:rsidRPr="00000000" w:rsidDel="00000000">
        <w:rPr>
          <w:i w:val="1"/>
          <w:rtl w:val="0"/>
        </w:rPr>
        <w:t xml:space="preserve">de minimis</w:t>
      </w:r>
      <w:r w:rsidR="00000000" w:rsidRPr="00000000" w:rsidDel="00000000">
        <w:rPr>
          <w:rtl w:val="0"/>
        </w:rPr>
        <w:t xml:space="preserve"> atbalstu, skaitot no atbalsta piešķiršanas dienas, viena vienota uzņēmuma līmenī nepārsniedz maksimālo </w:t>
      </w:r>
      <w:r w:rsidR="00000000" w:rsidRPr="00000000" w:rsidDel="00000000">
        <w:rPr>
          <w:i w:val="1"/>
          <w:rtl w:val="0"/>
        </w:rPr>
        <w:t xml:space="preserve">de minimis</w:t>
      </w:r>
      <w:r w:rsidR="00000000" w:rsidRPr="00000000" w:rsidDel="00000000">
        <w:rPr>
          <w:rtl w:val="0"/>
        </w:rPr>
        <w:t xml:space="preserve"> atbalsta apmēru, t.sk., ievērojot Komisijas regulas Nr. 2023/2831 3.panta 8. punkta nosacījumus uzņēmumu apvienošanās vai iegādes gadījumā un šīs regulas 3. panta 9. punkta nosacījumus uzņēmuma sadalīšanas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Samazināt Aizdevuma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samazināt aizdevuma un paralēlā aizdevuma maksimālo atbalsta summu līdz 5 000 000 EUR (šobrīd 7 000 000 EUR), kā arī kapitāla atlaides apmēru no 1 000 000 EUR uz 200 000 EUR, tādā veidā mazinot riskus nesasniegt noteikumu 9.2.2. apakšpunktā noteikto mērķi, jo līdzšinējais vidēji pieprasītais kapitāla atlaides apmērs pārsniedz prognozēto un ir pārāk liels, lai ar investīcijai pieejamo finansējumu sasniegtu minēto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sabiedrības “Altum” atbalsta programmas sniegtos apguves datus uz 2024.gada 9.aprīli ir secināms, ka aizdevuma vidējais apmērs ir 600 000 EUR, bet kapitāla atlaides vidējais apmērs ir 400 000 EUR. Atsevišķos projektos piešķirtās aizdevuma summas svārstās no 100 000 EUR līdz 2 100 000 EUR, un atsevišķos projektos piešķirtās kapitāla atlaides apmērs svārstās no 46 700 EUR līdz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paredzēts pārejas punkts, kas nosaka, ka samazinātais kapitāla atlaides un aizdevuma apmērs ir attiecināms tikai uz komersantu projektu pieteikumiem, kas tiks saņemti pēc šo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Papildināt finansējumu atbalsta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Latvijas un Šveices sadarbības programmas individuālā projekta "Mikrokreditēšanas programma" atmaksātais publiskais finansējums (klientu maksājumi un pamatsummas atmaksas) līdz 2 000 000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Veikt citus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precīzāk skaidrot, ka situācijās, ja komersants darbojas MK Noteikumu Nr. 421 62.</w:t>
      </w:r>
      <w:r w:rsidR="00000000" w:rsidRPr="00000000" w:rsidDel="00000000">
        <w:rPr>
          <w:vertAlign w:val="superscript"/>
          <w:rtl w:val="0"/>
        </w:rPr>
        <w:t xml:space="preserve">1</w:t>
      </w:r>
      <w:r w:rsidR="00000000" w:rsidRPr="00000000" w:rsidDel="00000000">
        <w:rPr>
          <w:rtl w:val="0"/>
        </w:rPr>
        <w:t xml:space="preserve">.1. apakšpunktā minētajās neatbalstāmajās nozarēs, </w:t>
      </w:r>
      <w:r w:rsidR="00000000" w:rsidRPr="00000000" w:rsidDel="00000000">
        <w:rPr>
          <w:i w:val="1"/>
          <w:rtl w:val="0"/>
        </w:rPr>
        <w:t xml:space="preserve">de minimis</w:t>
      </w:r>
      <w:r w:rsidR="00000000" w:rsidRPr="00000000" w:rsidDel="00000000">
        <w:rPr>
          <w:rtl w:val="0"/>
        </w:rPr>
        <w:t xml:space="preserve"> atbalstu drīkst piešķirt tikai tad, ja atbalsta pretendents nodrošina nozaru darbību nodalīšanu vai uzskaites nodalīšanu, lai saskaņā ar Komisijas regulas Nr.2023/2831 1.panta 2.punktu darbības izslēgtajās nozarēs negūst labumu no </w:t>
      </w:r>
      <w:r w:rsidR="00000000" w:rsidRPr="00000000" w:rsidDel="00000000">
        <w:rPr>
          <w:i w:val="1"/>
          <w:rtl w:val="0"/>
        </w:rPr>
        <w:t xml:space="preserve">de minimis </w:t>
      </w:r>
      <w:r w:rsidR="00000000" w:rsidRPr="00000000" w:rsidDel="00000000">
        <w:rPr>
          <w:rtl w:val="0"/>
        </w:rPr>
        <w:t xml:space="preserve">atbalsta, ko piešķir saskaņā ar Komisijas regulu Nr.2023/2831. Ja komersants vienlaikus darbojas vienā vai vairākās nozarēs, kas minētas šo noteikumu 62.</w:t>
      </w:r>
      <w:r w:rsidR="00000000" w:rsidRPr="00000000" w:rsidDel="00000000">
        <w:rPr>
          <w:vertAlign w:val="superscript"/>
          <w:rtl w:val="0"/>
        </w:rPr>
        <w:t xml:space="preserve">1</w:t>
      </w:r>
      <w:r w:rsidR="00000000" w:rsidRPr="00000000" w:rsidDel="00000000">
        <w:rPr>
          <w:rtl w:val="0"/>
        </w:rPr>
        <w:t xml:space="preserve">.2.- 62.</w:t>
      </w:r>
      <w:r w:rsidR="00000000" w:rsidRPr="00000000" w:rsidDel="00000000">
        <w:rPr>
          <w:vertAlign w:val="superscript"/>
          <w:rtl w:val="0"/>
        </w:rPr>
        <w:t xml:space="preserve">1</w:t>
      </w:r>
      <w:r w:rsidR="00000000" w:rsidRPr="00000000" w:rsidDel="00000000">
        <w:rPr>
          <w:rtl w:val="0"/>
        </w:rPr>
        <w:t xml:space="preserve">.15. apakšpunktā,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turpmāk iesniegtajiem aizdevuma pieteikumiem primāri atbalsts tiks sniegts ar </w:t>
      </w:r>
      <w:r w:rsidR="00000000" w:rsidRPr="00000000" w:rsidDel="00000000">
        <w:rPr>
          <w:i w:val="1"/>
          <w:rtl w:val="0"/>
        </w:rPr>
        <w:t xml:space="preserve">de minimis </w:t>
      </w:r>
      <w:r w:rsidR="00000000" w:rsidRPr="00000000" w:rsidDel="00000000">
        <w:rPr>
          <w:rtl w:val="0"/>
        </w:rPr>
        <w:t xml:space="preserve">atbalstu un tikai gadījumā, ja atbalstu ar </w:t>
      </w:r>
      <w:r w:rsidR="00000000" w:rsidRPr="00000000" w:rsidDel="00000000">
        <w:rPr>
          <w:i w:val="1"/>
          <w:rtl w:val="0"/>
        </w:rPr>
        <w:t xml:space="preserve">de minimis</w:t>
      </w:r>
      <w:r w:rsidR="00000000" w:rsidRPr="00000000" w:rsidDel="00000000">
        <w:rPr>
          <w:rtl w:val="0"/>
        </w:rPr>
        <w:t xml:space="preserve"> regulējumu nav iespējams sniegt, tad atbalstu sniegs saskaņā ar Komisijas regulu Nr.651/2014, ar ko noteiktas atbalsta kategorijas atzīst par saderīgām ar iekšējo tirgu, piemērojot Līguma 107. un 108. pantu (turpmāk – Komisijas regula Nr. 651/2014), 14.panta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tiek virzīts Ministru kabineta protokollēmuma projekts, kas paredz Ekonomikas ministrijai sadarbībā ar akciju sabiedrību "Attīstības finanšu institūcija Altum" viena mēneša laikā no noteikumu pieņemšanas Ministru kabinetā sagatavot un iesniegt Ministru kabinetā precizētu programmas rādītāju un sagaidāmo zaudējumu novērtējumu saskaņā ar Attīstības finanšu institūcijas likuma 12. panta trešās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Nr. 421 39.4. apakšpunktu “komersants” noteikumu projekta ietvaros tiek vērtēts grupas līmenī, kas izriet no Eiropas Komisijas skaidrojuma, kā arī Komisijas regulas Nr.651/2014 1.panta 4.punkta un 2.panta 18.punkta nosacījumi ir jāvērtē/jāpiemēro uzņēmuma grupas līmenī (Komisijas regulas Nr.651/2014 angliskajā versijā nosacījumi, kas ir attiecināmi uz ‘undertaking’.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MK Noteikumu Nr.421 59. punktā atbilstoši Komercdarbības atbalsta kontroles likuma lietotajai terminoloģijai ar ad-hoc ir saprotams komercdarbības atbalsts, kuru piešķir ārpus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veikti precizējumi 62.1. punktā, dzēšot 62.</w:t>
      </w:r>
      <w:r w:rsidR="00000000" w:rsidRPr="00000000" w:rsidDel="00000000">
        <w:rPr>
          <w:vertAlign w:val="superscript"/>
          <w:rtl w:val="0"/>
        </w:rPr>
        <w:t xml:space="preserve">1</w:t>
      </w:r>
      <w:r w:rsidR="00000000" w:rsidRPr="00000000" w:rsidDel="00000000">
        <w:rPr>
          <w:rtl w:val="0"/>
        </w:rPr>
        <w:t xml:space="preserve">.10.3. – 62.</w:t>
      </w:r>
      <w:r w:rsidR="00000000" w:rsidRPr="00000000" w:rsidDel="00000000">
        <w:rPr>
          <w:vertAlign w:val="superscript"/>
          <w:rtl w:val="0"/>
        </w:rPr>
        <w:t xml:space="preserve">1</w:t>
      </w:r>
      <w:r w:rsidR="00000000" w:rsidRPr="00000000" w:rsidDel="00000000">
        <w:rPr>
          <w:rtl w:val="0"/>
        </w:rPr>
        <w:t xml:space="preserve">. 10.8. apakšpunktus un pārceļot viņus uz 62.</w:t>
      </w:r>
      <w:r w:rsidR="00000000" w:rsidRPr="00000000" w:rsidDel="00000000">
        <w:rPr>
          <w:vertAlign w:val="superscript"/>
          <w:rtl w:val="0"/>
        </w:rPr>
        <w:t xml:space="preserve">1</w:t>
      </w:r>
      <w:r w:rsidR="00000000" w:rsidRPr="00000000" w:rsidDel="00000000">
        <w:rPr>
          <w:rtl w:val="0"/>
        </w:rPr>
        <w:t xml:space="preserve">.11-62.</w:t>
      </w:r>
      <w:r w:rsidR="00000000" w:rsidRPr="00000000" w:rsidDel="00000000">
        <w:rPr>
          <w:vertAlign w:val="superscript"/>
          <w:rtl w:val="0"/>
        </w:rPr>
        <w:t xml:space="preserve">1</w:t>
      </w:r>
      <w:r w:rsidR="00000000" w:rsidRPr="00000000" w:rsidDel="00000000">
        <w:rPr>
          <w:rtl w:val="0"/>
        </w:rPr>
        <w:t xml:space="preserve">.19, sakarā, ka 62.</w:t>
      </w:r>
      <w:r w:rsidR="00000000" w:rsidRPr="00000000" w:rsidDel="00000000">
        <w:rPr>
          <w:vertAlign w:val="superscript"/>
          <w:rtl w:val="0"/>
        </w:rPr>
        <w:t xml:space="preserve">1</w:t>
      </w:r>
      <w:r w:rsidR="00000000" w:rsidRPr="00000000" w:rsidDel="00000000">
        <w:rPr>
          <w:rtl w:val="0"/>
        </w:rPr>
        <w:t xml:space="preserve">.10.3. – 62.</w:t>
      </w:r>
      <w:r w:rsidR="00000000" w:rsidRPr="00000000" w:rsidDel="00000000">
        <w:rPr>
          <w:vertAlign w:val="superscript"/>
          <w:rtl w:val="0"/>
        </w:rPr>
        <w:t xml:space="preserve">1</w:t>
      </w:r>
      <w:r w:rsidR="00000000" w:rsidRPr="00000000" w:rsidDel="00000000">
        <w:rPr>
          <w:rtl w:val="0"/>
        </w:rPr>
        <w:t xml:space="preserve">.10.8. apakšpunkti neattiecas uz Komisijas regulas Nr. 651/2014 13.panta "a" un "b" punktiem, līdz ar to viņi ir pārnesti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Noteikumu projektā neietekmēs sabiedrības “Altum” noslēgtos līgumus ar komersantiem vai, uzsāktos saņemtos un vērtēšanā esošos komersantu pieteikuma projektus, kas iesniegti līdz 2024.gada 9.aprīlim, tostarp finansējuma saņēmējus, kā arī ar šiem grozījumiem netiek mainīta vai ietekmēta projektu izpildes nosacījumi. Sabiedrība “Altum” 2024.gada 10.aprīlī ir apturējusi jaunu pieteikumu pieņemšanu. Sabiedrība “Altum” turpina līdz šim iesniegto pieteikumu vērtēšanu un komersantu projektu pieteikumu saņemšana tiks uzsākta nākamajā dienā pēc Noteikumu projekta apstiprināšanas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w:t>
      </w:r>
      <w:r w:rsidR="00000000" w:rsidRPr="00000000" w:rsidDel="00000000">
        <w:rPr>
          <w:i w:val="1"/>
          <w:rtl w:val="0"/>
        </w:rPr>
        <w:t xml:space="preserve">de minimis</w:t>
      </w:r>
      <w:r w:rsidR="00000000" w:rsidRPr="00000000" w:rsidDel="00000000">
        <w:rPr>
          <w:rtl w:val="0"/>
        </w:rPr>
        <w:t xml:space="preserve"> atbalsta kopsumma vienam vienotam uzņēmumam ir palielinājusies līdz 300 000 EUR, kas radīs ietekmi komersantiem, nodrošinot iespēju saņemt aizdevumus.</w:t>
      </w:r>
      <w:r w:rsidR="00000000" w:rsidRPr="00000000" w:rsidDel="00000000">
        <w:rPr>
          <w:rtl w:val="0"/>
        </w:rPr>
        <w:t xml:space="preserve">Atbalstu saskaņā ar Komisijas regulu Nr.2023/2831 atbalsta pretendenti var saņemt tikai tādā gadījumā, ja tie kvalificējas nosacījumiem, kas izriet no Komisijas regulas Nr.2023/2831. Veiktās izmaiņas Noteikumu projektā neietekmēs sabiedrības “Altum” noslēgtos līgumus ar komersantiem vai, uzsāktos saņemtos un vērtēšanā esošos komersantu pieteikuma projektus, kas iesniegti līdz 2024.gada 9.aprīlim, tostarp finansējuma saņēmējus, kā arī ar šiem grozījumiem netiek mainīta vai ietekmēta projektu izpildes nosacījumi. Noteikumu projekta ietvaros netiks mainīts atbalstīto komersantu skaits - 133.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2023.gada 13.decembra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ir atbilstošs Eiropas Komisijas paziņojumā “Par atsauces likmes un diskonta likmes noteikšanas metodes pārskatīšanu” (2008/C 14/02) noteiktajām likmēm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2023.gada 13.decembra (ES)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projektā tiek veikti tehniski precizējumi.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w:t>
    </w:r>
    <w:r>
      <w:br/>
    </w:r>
    <w:r w:rsidR="00000000" w:rsidRPr="00000000" w:rsidDel="00000000">
      <w:rPr>
        <w:rtl w:val="0"/>
      </w:rPr>
      <w:t xml:space="preserve">Izdrukāts 29.07.2026. 22.22 - 4.0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w:t>
    </w:r>
    <w:r>
      <w:br/>
    </w:r>
    <w:r w:rsidR="00000000" w:rsidRPr="00000000" w:rsidDel="00000000">
      <w:rPr>
        <w:rtl w:val="0"/>
      </w:rPr>
      <w:t xml:space="preserve">Izdrukāts 29.07.2026. 22.22 - 4.0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anotācija_(ex_ante)_24-TA-125.docx</dc:title>
</cp:coreProperties>
</file>

<file path=docProps/custom.xml><?xml version="1.0" encoding="utf-8"?>
<Properties xmlns="http://schemas.openxmlformats.org/officeDocument/2006/custom-properties" xmlns:vt="http://schemas.openxmlformats.org/officeDocument/2006/docPropsVTypes"/>
</file>