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5. septembra noteikumos Nr. 537 "Noteikumi par portfeļgarantijām sīko (mikro), mazo un vidējo saimnieciskās darbības veicēju – juridisko personu – kreditēšanas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5. septembra noteikumos Nr. 537 "Noteikumi par portfeļgarantijām sīko (mikro), mazo un vidējo saimnieciskās darbības veicēju – juridisko personu – kreditēšanas veicināšanai" (turpmāk - MK noteikumu projekts) ir izstrādāts, lai pilnveidotu portfeļgarantiju programmas nosacījumus un tādējādi nodrošinātu lielāku finanšu pieejamību saimnieciskās darbības veicējiem.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nodrošināt finansējuma pieejamību saimnieciskās darbības veicējiem.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5. septembra noteikumi Nr. 537 "Noteikumi par portfeļgarantijām sīko (mikro), mazo un vidējo saimnieciskās darbības veicēju – juridisko personu – kreditēšanas veicināšanai" (turpmāk - MK Noteikumi Nr. 537) nosaka garantiju atbalsta piešķiršanas nosacījumus, finansēšanas kārtību un valsts atbalsta nosacījumus sīkajiem (mikro), mazajiem, vidējiem, mazajiem vidējās kapitalizācijas un vidējās kapitalizācijas saimnieciskās darbības veicējiem – juridiskām personām (turpmāk – saimnieciskās darbības veicēji) – ierobežotas portfeļgarantijas veidā, kā arī Covid-19 izraisītās krīzes portfeļgarantijas nosacījumus un Eiropas Savienības kohēzijas politikas programmas 2021.–2027. gadam 1.2.3. specifiskā atbalsta mērķa "Veicināt ilgtspējīgu izaugsmi, konkurētspēju un darba vietu radīšanu MVU, tostarp ar produktīvām investīcijām" 1.2.3.4. pasākuma "Garantijas, portfeļgarantijas pilna cikla uzņēmējdarbībai" (turpmāk – 1.2.3.4. pasākums) portfeļgarantiju nosacījumus tiešo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akciju sabiedrības "Attīstības finanšu institūcija Altum" (turpmāk – sabiedrība “Altum) ir noslēgti sadarbības līgumi ar šādām kredītiestādēm: AS "SEB banka", AS "Industra Bank", AS "Luminor Bank", AS "Swedbank", AS "Citadele banka", kā arī alternatīvo finansētāju SIA "Capitalia Fund Management AIFP". Atlases kārtas ietvaros ietvaros līdz šim sniegts atbalsts 39 komersantiem par kopējo darījumu apjomu 394 434 euro. Atbalstītie uzņēmumi 255 un finansiālais izlietojums ir 2 366 854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537 nosaka portfeļgarantiju piešķiršanas nosacījumus tiešo finanšu instrumentu veidā 1.2.3.4. pasākuma ietvaros. Latvijas tautsaimniecībā dominē sīko (mikro), mazo un vidējo saimnieciskās darbības veicēji (turpmāk - MVU), kas veido vairāk nekā 99% no visiem uzņēmumiem. Lielākā daļa šo uzņēmumu darbojas nozarēs, kur nepieciešamas ievērojamas sākotnējās investīcijas un apgrozāmie līdzekļi, piemēram, rūpniecībā, lauksaimniecībā un tehnoloģiju sektorā. Pieaugošās uzņēmējdarbības izmaksas un ekonomiskā nenoteiktība prasa valsts atbalsta instrumentu pielāgošanu realitātei.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tikšanās rezultātus ar nozares uzņēmumus pārstāvošajām organizācijām un kredītiestādēm par praktisko piemērošanu garantiju programmā nepieciešamajiem papildus risinājumiem finansējuma pieejamības veicināšanai.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nodrošināt atbalstu lauksaimniecības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ieviest atbalstu arī lauksaimniecības jomā ir integrēts, ņemot vērā Zemkopības ministrijas priekšlikumu par atbalsta nepieciešamību, jo šobrīd šāds garantiju mehānisms nepastāv. Neatkarīgi no tā, sabiedrība "Altum" atbilstoši tās iekšējām kārtībām nodrošina pasākuma demarkācijas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integrēt attiecīgajos MK Noteikumu Nr. 537 punktos atsauci uz Komisijas 2013. gada 18. decembra Regulu (ES) Nr. 1408/2013 par Līguma par Eiropas Savienības darbību 107. un 108. panta piemērošanu de minimis atbalstam lauksaimniecības nozarē (turpmāk – Komisijas regula Nr. 1408/2013).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finanšu pakalpojumu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537 4.2. apakšpunkts nosaka, ka garantijas sniedz tādiem finanšu pakalpojumiem kā finanšu pakalpojums – finansētāja izsniegti aizdevumi investīciju veikšanai un apgrozāmo līdzekļu finansēšanai, finanšu līzings. Ar MK Noteikumu projektu tiek precizēts, ka MK noteikumu Nr. 537 4.2. punkts tiek papildināts ar banku garantijām kā piemērojamu finanšu pakalpojuma veidu, tādējādi paplašinot atbalstāmo instrumentu spektru, kas programmas atbalstāmo finanšu pakalpojumu ietvaros tika iekļauti līdz ar MK 18.06.2024 grozījumiem (noteikumi Nr. 362). MK Noteikumu Nr. 537 9. punkts nosaka finanšu pakalpojumu veidus. Uzskaitītie pakalpojumu veidi var tikt iekļauti vienā finanšu pakalpojuma līgumā, kas noslēgts starp finansētāju un saimnieciskās darbības veicēju.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palielināt garantēto finanšu pakalpojumu maksimālo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 537 paredz, ka vienam saimnieciskās darbības veicējam garantēto finanšu pakalpojumu summa nepārsniedz 500 000 euro. Ar mērķi veicināt saimnieciskās darbības veicēju spēju īstenot ambiciozākus projektus, MK Noteikumu projekts paredz palielināt MK Noteikumu Nr. 537 10.4. punktā garantēto finanšu pakalpojumu maksimālā summu līdz 2 000 000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Garantiju apmēru pārskatīšana veikta, pamatojoties uz sarunām ar kredītiestādēm, kā arī ņemot vērā tautsaimniecībā identificēto pieaugošo nepieciešamību pēc apgrozāmo līdzekļu finansējuma un investīciju nodrošinājuma, tostarp arī lielākos apjomos.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Pilnveidoti MK Noteikumu Nr. 537 atbalsta programmas nosacījumi, tādējādi paplašinot portfeļgarantiju pieejamību un veicinot uzņēmējdarbības kreditēšanu.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garantijas summu, MVU varēs veikt apjomīgākas investīcijas, attīstīt jaunas tehnoloģijas, palielināt produktivitāti un stiprināt konkurētspēju gan vietējā, gan starptautiskajā tirgū. Tas veicinās nodarbinātību, inovācijas un kopējo tautsaimniecības izaugsmi. </w:t>
      </w:r>
      <w:r w:rsidR="00000000" w:rsidRPr="00000000" w:rsidDel="00000000">
        <w:rPr>
          <w:rtl w:val="0"/>
        </w:rPr>
        <w:t xml:space="preserve">Skaidrojam, ka šī iniciatīva ir saņemta tieši no finansētājiem atbilstoši to īstenotajai praksei un esošajiem finanšu produktiem. Vairums no portfeļgarantiju programmas darījumiem joprojām ir maza apjoma darījumi (vidējais apjoms līdz 50 tūkst. euro) un limita palielināšana ļautu neierobežot pielāgot darījuma maksimālos apmērus attiecīgi industrijas praksei dažādu projektu finansēšanai, kas atbilst programmas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Lietuvā portfeļgarantiju rīku piedāvā attīstības institūcija ILTE un maksimālā garantētā finansēto pakalpojumu summa ir 2 812 500 euro, savukārt primārās lauksaimniecības nozares komersantiem 234 375 euro</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portfeļgarantiju instrumentu piedāvā attīstības institūcija EiS, kur maksimālais garantētais finanšu pakalpojums ir līdz 200 000 euro</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https://ilte.lt/en/services/114/portfolio-guarantees-3-121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https://kredex.ee/en/node/2421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garantijas apmēra palielinājums radīs lielāku interesi par garantiju saņemšanu Latvijā, konkurējot ar pārējām Baltijas un ES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precizēt termiņus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precizēti aizdevumu apgrozāmo līdzekļu finansēšanai un banku garantiju termiņi, veicot grozījumus MK Noteikumos Nr. 537 10.4 – 10.7. punktos, kas nosaka konkrētu maksimālo termiņu šiem finanšu pakalpojumiem, salāgojot programmas nosacījumus ar individuālo garantiju programmu, kas noteikta atbilstoši Ministru kabineta 2020. gada 16. jūnija noteikumi Nr. 383 "Noteikumi par garantijām saimnieciskās darbības veicējiem konkurētspējas uzlabošanai" (turpmāk – MK noteikumi Nr. 383).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attīstības institūcija ILTE portfeļgarantiju termiņi: investīciju aizdevumiem un finanšu līzingam (līzings) – līdz 10 gadiem; apgrozāmajiem līdzekļiem aizdevumiem – līdz 5 gadiem; finansējums kredītlīnijas veidā – līdz 3 gadiem. Savukārt attīstības institūcijas KredEx portfeļgarantiju termiņi ir šādi: investīciju aizdevumiem līdz 10 gadiem; apgrozāmo līdzekļu aizdevumiem līdz 5 gadiem. Plānotie grozījumi par jauno sadarbības termiņu tiks piemēroti tikai turpmākajās finansētāju atlases kārtās un neietekmēs jau atlasītos finansētājus. Tādējādi netiek radītas priekšrocības vai ierobežojumi esošajiem sadarbības partneriem. Vienlaikus termiņa pagarinājums var veicināt jauna klientu loka interesi, kas līdz šim nebija iesaistījies šajā finanšu instrumentā.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noteikt, ka garantiju prēmijas turpmāk tiks noteiktas ar sabiedrības "Altum" cenrādi;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precizēts MK Noteikumu Nr. 537 12. punkts, nosakot, ka par garantijas izsniegšanu tiek piemērota vienreizēja garantijas prēmija no garantijas segtās finanšu pakalpojumu summas saskaņā ar sabiedrības "Altum"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nosacījumi tiek piemēroti arī citās “Altum” īstenotajās garantiju programmās un ļauj elastīgi reaģēt uz izmaiņām, piemēram, procentu likmju kāpuma periodos. Cenrādis ir publiski pieejams dokuments, kas publicēts Sabiedrības "Altum"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https://www.altum.lv/wp-content/uploads/2024/10/Cenradis_komersantu_lauksaimnieku_-garantijam_v12_241024-1.pdf.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projekts papildina MK Noteikumu Nr. 537 13.1. punktu, kurā noteikts regulējums ar nosacījumu par papildu garantiju piemērošanu, paredzot, ka garantiju izsniegšanai un sabiedrības "Altum" pārvaldības izmaksu segšanai var izmantot Eiropas Savienības struktūrfondu un Kohēzijas fonda 2007.–2013. gada plānošanas perioda atmaksāto finansējumu. Izņēmuma kārtā atļauts izmantot šo finansējumu arī sabiedrības "Altum" aizdevumu refinansēšanai, ievērojot visas piemērojamās komercdarbības atbalsta regulējuma normas. Analoga norma jau šobrīd ir iekļauta arī sabiedrības “Altum” īstenotajā individuālo garantiju programmā, kur MK noteikumi Nr. 383 ir atrunāts apakšpunktos 7.2. un 7.3. atmaksātais publiskais finansējums ir pieejams arī refinansēšanai. Attiecīgi 9.2. apakšpunktā skaidri norādīts nosacījums, ka, ja tiek refinansēts sabiedrības “Altum” aizdevums, tas ir pieļaujams tikai tad, ja tiek ievērotas visas piemērojamās komercdarbības atbalsta regulējuma normas, un finansējuma avots ir kāds no 7.2. vai 7.3. punktā minētajiem. Tādējādi plānotā pieeja atbilst jau pastāvošajai normatīvajai praksei un veido tiesisku pamatu attiecīgā nosacījuma iekļaušanai arī jaunajā atbalsta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precizēt nozaru klasifikāciju atbilstoši NACE 2.1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dažādu valstu statistika būtu salīdzināma Eiropas Savienībā (ES) pastāv divas klasifikācijas sistēmas – 2010. gada Eiropas Kontu sistēmu (EKS2010) un ES Saimniecisko darbību statistiskā klasifikācija jeb NACE, – saskaņā ar kurām iespējams klasificēt institucionālās vienības un tautsaimniecības sektorus.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2.red. klasifikācija tika izstrādāta un apstiprināta ar 2006. gada 20. decembra Eiropas Parlamenta un Padomes regulu (EK) Nr. 1893/2006, ar ko izveido NACE 2. red. saimniecisko darbību statistisko klasifikāciju, kā arī groza Padomes Regulu (EEK) Nr. 3037/90 un dažas EK regulas par īpašām statistikas jomām, kas 2024. gada 31. decembrī beidza savu darbību. No 2025. gada 1. janvāra NACE 2. red. tika atjaunināta, lai ņemtu vērā tehnoloģiju un ekonomikas attīstību un nodrošinātu tās saskaņotību ar citām ekonomiskajām un sociālajām klasifikācijām, kā rezultātā spēkā stājās NACE 2.1. redakcija, kas izklāstīta Komisijas deleģētajā (ES) 2022. gada 10 oktobra Regulā Nr. 2023/137, ar kuru groza Regulu (EK) Nr. 1893/2006, ar ko izveido saimniecisko darbību statistisko klasifikāciju. MK Noteikumu projekts paredz grozījumus MK Noteikumu Nr. 537 13.7. apakšpunktā, papildinot un precizējot neatbalstāmās nozares saskaņā ar NACE 2.1 redakciju, tādējādi nodrošinot regulējuma atbilstību faktiskajai uzņēmējdarbības klasifikācijai un atbalsta piešķiršanas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veikti grozījumi MK Noteikumu Nr. 537 13.8. punktā, papildinot un precizējot neatbalstāmās nozares saskaņā ar NACE 2. redakciju, tādējādi nodrošinot regulējuma atbilstību faktiskajai uzņēmējdarbības klasifikācijai un atbalsta piešķiršanas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precizēt finansētāju atlases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sabiedrība "Altum" informē finansētājus par atlases izsludināšanu, publicējot attiecīgo informāciju un atlases nosacījumus savā tīmekļvietnē: www.altum.lv. Tādējādi MK noteikumu projekts stiprina informācijas pieejamību un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skaidro, ka projektā minētās prasības, kas saistītas ar finansētāju atlasi, būtu piemērojamas tikai nākošajās atlasēs - proti, grozījumi atlases nosacījumos, netiek piemēroti jau atlasītajiem finansētājiem. Altum skaidro, ka gatavojot atlases nolikumu nākošajām kārtām, nolikuma dokumentācijā tiktu sagatavots papildinājums, kas ietverts 23.punkta otrajā teikumā - t.i., gadījumā, ja starp atlasītajiem finansētājiem sākotnēji nav sadalīts viss pieejamais finansējums, citi pretendenti, kas atbilst programmas nosacījumiem un atlases kritērijiem noteiktā periodā, kas definēts atlases nosacījumos, būtu iespējams pieteikties nolikumā noteiktajā kārtībā iesniedzot piedāvājumus, arī pretendēt uz iespēju slēgt līgumu portfeļgarantiju programma. Šāda kārtība tiktu publicēta jau sākotnēji, tādējādi nodrošinot caurspīdīgu atlases procesu. Altum skaidro, ka arī 4.atlases kārtā finansētāji pēc būtības izpilda atbilstības kritērijus, tādējādi netiek nodrošināta priekšrocība konkrētajam finansētājam.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Noteikumu projekts paredz, ka, ja atlases ietvaros sākotnēji nav rezervēts viss pieejamais finansējums, sabiedrība "Altum" ir tiesīga slēgt sadarbības līgumus arī ar citiem finansētājiem, kas kvalificējušies atlasē atbilstoši atlases nosacījumiem ar nosacījumu, ka šāds punkts ir iekļauts atlases nolikumā. Minētās normas, kas attiecas uz finansētāju atlasi būs piemērojamas tikai sākot ar nākošajām finansētāju atlases kārtām, savukārt izmaiņas programmas nosacījumos, kas labvēlīgi ietekmē komersantus, varēs tik piemērotas, ja atlasītie finansētāji vēlēsies tās piemērot jau šajās atlases kārtās, veicot attiecīgus līguma grozījumus līgumos ar finansētājiem.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aizstāt programmā pieejamo finansējumu 9 869 476 euro apmērā 1.2.3.4. pasākuma ietvaros ar identisku finansējuma apmēru no 2014.-2020.gada ES fondu plānošanas perioda 3.1.1.1. pasākuma atmaksātā finansējuma. Minētās izmaiņas neietekmē esošos noslēgtos līgumus ar finansētājiem. Ņemot vērā, ka EM virzījusi arī grozījumus MK noteikumos Nr. 510 (25-TA-489), kas apstiprināti Ministru kabinetā 2025. gada 12. augustā, un kur ir salāgots programmai pieejamais finansējums, savukārt jau attiecinātie darījumi tiks koriģēti CFLA iesniegtajos maksājumu pieprasījumos. Minētās izmaiņas neietekmē sasniedzamos rezultatīvos rādītājus, kas noteikti 1.2.3.4. pasākuma līmenī un tiks sasniegti individuālo garantiju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minētās izmaiņas, kas attiecas programmas nosacījumiem varētu tikt piemēroti jau pēc MK noteikumu spēkā stāšanās, noslēdzot attiecīgus grozījumus līgumos ar finansētājiem un veicot attiecīgus nolīguma grozījumus ar CFLA. Skaidrojam, ka piemēram garantijas maksimālais limits var tikt palielināts ari pakāpeniski, tādējādi komersanti tiks ietekmēti labvēlīgi. Papildus skaidrojam, ka projekts paredz pārdalīt Portfeļgarantiju programmai pieejamo ERAF finansējumu uz individuālo garantiju programmu, tādā paša apjoma šo aizstājot ar 14-20 perioda atmaksām.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projekts turpmāk paredz, ka līdzīgi kā iepriekšējās atlases kārtās finansētāju atlases nosacījumi tiks definēti Atlases noteikumos un neierobežos finansētāju atlasei izvēlēties arī jaunus sadarbības partnerus, tā kā līdzšinējā redakcijā 25.1 – 25.3. punkti ierobežoja piešķiramā finansējuma apmēru atlasītajiem finansētājiem, kā arī noteica labvēlīgākus nosacījumus arī balstoties uz iepriekšējiem sadarbības rezultātiem. Plānots, ka turpmākajās atlases kārtās maksimālā piešķiramā finansējuma apmērs tiks noteikts vienāds visiem finansētājiem, kas atbilst atlases kritērijiem, bet nepārsniegs pieprasītā finansējuma apmēru, kas atbilstoši pamatots finansētāja pieteikumā. Tādā veidā tiks nodrošināti vienlīdzīgi nosacījumi visiem finansētājiem, kā arī tiks veicināta kreditēšana, izmantojot ALTUM portfeļgarantiju (izmaiņas MK Noteikumu Nr. 537 25.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projektā ir precizēta norma par ALTUM vadības izmaksu aprēķinu, nosakot, ka pārvaldības izmaksas līdz 2024. gada 31.decembrim nosaka saskaņā ar ALTUM vadības izmaksu aprēķināšanas metodiku un sedz ar vadības maksu, ko nosaka, ievērojot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12. un 13. panta 3. punktā noteikto kopējās robežvērtības apmēru. Papildus ALTUM vadības izmaksas noteikšanā piemēro 2025.gada 21.janvāra Ministru kabineta apstiprinātajā informatīvā ziņojumā “Par akciju sabiedrības “Attīstības finanšu institūcija Altum” vadības izmaksām Portfeļgarantiju instrumenta ieviešanai līdz 2024.gada 30.septembrim” minēto pieeju.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nosacījumus, finansēšanas kārtību un valsts atbalsta nosacījumus sīkajiem (mikro), mazajiem, vidējiem, mazajiem vidējās kapitalizācijas un vidējās kapitalizācijas saimnieciskās darbības veicējiem. MK noteikumu projekts radīs pozitīvu ietekmi, jo veicinās finanšu rīku pieejamību plašākam uzņēmēju lokam, kas palīdzēs palielināt  uzņēmējdarbības kapitāla pieejamības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paplašināts to saimnieciskās darbības veicēju loks, kuriem būs pieejams šis finanšu instruments, kā arī būtiski palielināts atbalsta apjoms, tiek prognozēta pozitīva ietekme uz valsts makroekonomisko vidi, veicinot investīcijas, uzņēmējdarbības attīstību un kopējo ekonomikas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apstākļi tiek nodrošināti vienlīdzīgi plašākam spektram tirgus dalībnieku, ņemot vērā, ka atbalsts tiek sniegts arī lauksaimniecības nozares speciālistiem. Tas veicinās pozitīvas uzņēmējdarbības vides attīstību un konkurētspējas pieaugumu plašākam saimnieciskās darbības veicēju lokam, kā arī stiprinās valsts atbalsta instrumentu efektīvu izmantošanu. Konkurētspējas veicināšanu gan Latvijas, gan starptautiskajos tirgos.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veicina vienlīdzīgus konkurences apstākļus plašākam tirgus dalībnieku lokam, jo paredzēts atbalsts arī lauksaimniecības nozares saimnieciskās darbības veicējiem. Ņemot vērā, kā ar noteikumiem tiek paplašināts atbalsta saņēmēju loks attiecībā uz lauksaimniecības nozari, tad saskaņā ar Zemkopības ministrijas veiktajām aplēsēm potenciālais atbalsta saņēmēju loks varētu paplašināties par 100 līdz 150 lauksaimniekiem. Šī pieeja nodrošina atbalsta instrumentu pieejamību, tādējādi sekmējot labvēlīgas uzņēmējdarbības vides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uzlabojumi veicina plašākas uzņēmēju grupas konkurētspēju, stiprinot viņu spēju izmantot valsts atbalsta mehānismus savu attīstības mērķu sasniegšanai. Atbalsta pasākumi īpaši vērsti uz mazo un vidējo uzņēmumu segmentu, sekmējot to ilgtspējīgu izaugsmi, konkurētspējas stiprināšanu un jaunu darba vietu radīšanu gan Latvijas, gan ārvalstu tirgos.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atbalsts ir tieši tendēts uz MVU iespējām veicināt ilgtspējīgu izaugsmi, konkurētspēju un darba vietu radīšanu.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atbalsts ir tieši tendēts uz MVU iespējām veicināt ilgtspējīgu izaugsmi, konkurētspēju un darba vietu radīšanu.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atbalsts ir tieši tendēts uz MVU iespējām veicināt ilgtspējīgu izaugsmi, konkurētspēju un darba vietu radīšanu.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8 389 055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-8 389 055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8 389 055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-8 389 055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9 869 476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-9 869 476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9 869 476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-9 869 476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-1 480 421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1 480 421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-1 480 421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1 480 421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1 480 421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Altum sniegtās informācijas, saimnieciskās darbības veicēji primāri izvēlas saņemt atbalstu saskaņā ar MK noteikumi Nr. 383 nosacījumiem, Lai nodrošinātu garantiju izsniegšanu pietiekamā apjomā Eiropas Savienības kohēzijas politikas programmas 2021.–2027. gadam 1.2.3.4. pasākuma ietvaros, tiek veikta finansējuma pārdale 9 869 476 euro apmērā no portfeļgarantiju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samazinājums veikts ar mērķi nodrošināt SAM 1.2.3. specifiskā atbalsta mērķa rādītāju sasniegšanu. Plānotais finansējuma apjoms tiks novirzīts 1.2.3.4. pasākuma īstenošanai, lai nodrošinātu rādītāju izpildi – atbalstīt 50 komersantus un piesaistīt investīcijas 9 869 476 euro apmērā. Līdz ar to tiek sekmēta rādītāju metodoloģijā noteikto rezultātu sasniegšana un programmas mērķu īstenošana.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9 869 476 euro apmērā tiek pārdalīts no Ministru kabineta 2017. gada 5. septembra noteikumos Nr. 537 "Noteikumi par portfeļgarantijām sīko (mikro), mazo un vidējo saimnieciskās darbības veicēju – juridisko personu – kreditēšanas veicināšanai" paredzētā finansējuma uz Eiropas Savienības kohēzijas politikas programmas 2021.–2027. gadam 1.2.3.4. pasākumu, kur atbalsts tiek sniegts saskaņā ar Ministru kabineta 2020. gada 16. jūnija noteikumiem Nr. 383 "Noteikumi par garantijām saimnieciskās darbības veicējiem konkurētspējas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aizstāt programmā pieejamo finansējumu 9 869 476 euro apmērā 1.2.3.4. pasākuma ietvaros ar identisku finansējuma apmēru no 2014.-2020.gada ES fondu plānošanas perioda 3.1.1.1. pasākuma atmaksātā finansējuma.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2023. gada 5. septembra noteikumos Nr. 510 "Eiropas Savienības kohēzijas politikas programmas 2021.–2027. gadam finanšu instrumentu kopīgie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izstrādājusi un 24.07.2025 iesniegusi MK izskatīšanai grozījumu MK noteikumos Nr. 510, kas paredz salāgot MK noteikumos iekļautajām programmām pieejamo finansējumu.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2013.gada 18.decembra Regulu (ES) Nr. 1408/2013 par Līguma par Eiropas Savienības darbību 107. un 108. panta piemērošanu de minimis atbalstam lauksaimniecības nozarē (turpmāk – Komisijas regula Nr.  1408/2013)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32014R0480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3. marta Deleģētā regula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2013.gada 18.decembra Regulu (ES) Nr. 1408/2013 par Līguma par Eiropas Savienības darbību 107. un 108. panta piemērošanu de minimis atbalstam lauksaimniecības nozarē (turpmāk – Komisijas regula Nr.  1408/2013)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1408/2013 (vispārīgi)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 13.</w:t>
            </w:r>
            <w:r w:rsidR="00000000" w:rsidRPr="00000000" w:rsidDel="00000000">
              <w:rPr>
                <w:sz w:val="24"/>
                <w:vertAlign w:val="superscript"/>
                <w:rtl w:val="0"/>
              </w:rPr>
              <w:t xml:space="preserve">1</w:t>
            </w:r>
            <w:r w:rsidR="00000000" w:rsidRPr="00000000" w:rsidDel="00000000">
              <w:rPr>
                <w:sz w:val="24"/>
                <w:rtl w:val="0"/>
              </w:rPr>
              <w:t xml:space="preserve">2. apakšpunkts;  32.</w:t>
            </w:r>
            <w:r w:rsidR="00000000" w:rsidRPr="00000000" w:rsidDel="00000000">
              <w:rPr>
                <w:sz w:val="24"/>
                <w:vertAlign w:val="superscript"/>
                <w:rtl w:val="0"/>
              </w:rPr>
              <w:t xml:space="preserve">1</w:t>
            </w:r>
            <w:r w:rsidR="00000000" w:rsidRPr="00000000" w:rsidDel="00000000">
              <w:rPr>
                <w:sz w:val="24"/>
                <w:rtl w:val="0"/>
              </w:rPr>
              <w:t xml:space="preserv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1408/2013 4. panta 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1408/2013 1. panta 1. punkta "a", "b",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w:t>
            </w:r>
            <w:r w:rsidR="00000000" w:rsidRPr="00000000" w:rsidDel="00000000">
              <w:rPr>
                <w:sz w:val="24"/>
                <w:vertAlign w:val="superscript"/>
                <w:rtl w:val="0"/>
              </w:rPr>
              <w:t xml:space="preserve">1</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1408/2013 1.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1408/2013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1408/2013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1408/2013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1408/2013 4.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1408/2013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1408/2013 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1408/2013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Nr. 2023/2831 par Līguma par Eiropas Savienības darbību 107. un 108. panta piemērošanu de minimis atbalstam (turpmāk –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 13.</w:t>
            </w:r>
            <w:r w:rsidR="00000000" w:rsidRPr="00000000" w:rsidDel="00000000">
              <w:rPr>
                <w:sz w:val="24"/>
                <w:vertAlign w:val="superscript"/>
                <w:rtl w:val="0"/>
              </w:rPr>
              <w:t xml:space="preserve">1</w:t>
            </w:r>
            <w:r w:rsidR="00000000" w:rsidRPr="00000000" w:rsidDel="00000000">
              <w:rPr>
                <w:sz w:val="24"/>
                <w:rtl w:val="0"/>
              </w:rPr>
              <w:t xml:space="preserve">6. apakšpunkts; 14. punkts; 32. punkts; 32.</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4. panta 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punkta "a", "b", "c" un "d" vai "e" un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4.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3. marta Deleģētā regula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480/2014 12. un 13.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 Ekonomikas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https://vktap.mk.gov.lv/public_participations/public_discussions/e342b6a7-7ab9-49d0-a2cc-3f8f49ab669a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norisinājās no 2025.gada 10.aprīļa līdz 25.aprīlim, nav saņemti viedokļi.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rīks palīdz atbalstīt Uzņēmējdarbību, tad iespējama tieša korelācija ar darba vietu radīšanu, kas tiešā veidā var pozitīvi ietekmēt iedzivotāju sociālo situāciju.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rīks palīdz atbalstīt Uzņēmējdarbību, tad iespējama tieša korelācija ar darba vietu radīšanu, kas tiešā veidā var pozitīvi ietekmēt personu ar invaliditāti vienlīdzīgām iespējām un tiesībām.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rīks palīdz atbalstīt Uzņēmējdarbību, tad iespējama tieša korelācija ar darba vietu radīšanu, kas tiešā veidā var pozitīvi ietekmēt dzimumu līdztiesību.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25-TA-782</w:t>
    </w:r>
    <w:r>
      <w:br/>
    </w:r>
    <w:r w:rsidR="00000000" w:rsidRPr="00000000" w:rsidDel="00000000">
      <w:rPr>
        <w:rtl w:val="0"/>
      </w:rPr>
      <w:t xml:space="preserve">Izdrukāts 29.07.2026. 23.16 - 5.0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25-TA-782</w:t>
    </w:r>
    <w:r>
      <w:br/>
    </w:r>
    <w:r w:rsidR="00000000" w:rsidRPr="00000000" w:rsidDel="00000000">
      <w:rPr>
        <w:rtl w:val="0"/>
      </w:rPr>
      <w:t xml:space="preserve">Izdrukāts 29.07.2026. 23.16 - 5.0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anotācija_(ex_ante)_25-TA-782.docx</dc:title>
</cp:coreProperties>
</file>

<file path=docProps/custom.xml><?xml version="1.0" encoding="utf-8"?>
<Properties xmlns="http://schemas.openxmlformats.org/officeDocument/2006/custom-properties" xmlns:vt="http://schemas.openxmlformats.org/officeDocument/2006/docPropsVTypes"/>
</file>