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1. Tiesību akta projekta izstrādes nepieciešamība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Anotācijas (ex-ante) nosaukums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Tiesību akta projekta "Grozījums Ministru kabineta 2006. gada 11. aprīļa noteikumos Nr. 289 "Noteikumi par īslaicīgās aizturēšanas vietas kamerā glabāšanai atļauto priekšmetu sarakstu"" sākotnējās ietekmes (ex-ante) novērtējuma ziņojums (anotācija)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1.1. Pamatojums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Izstrādes pamatojums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Ministrijas / iestādes iniciatīva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Projekts izstrādāts nolūkā precizēt informatīvu atsauci uz Eiropas Savienības direktīvu.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1.2. Mērķis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Mērķa 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Projekts izstrādāts nolūkā precizēt informatīvu atsauci uz Eiropas Savienības direktīvu.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Spēkā stāšanās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Vispārējā kārtība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1.3. Pašreizējā situācija, problēmas un risinājumi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Pašreizējā situācija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    Likuma “Grozījumi Kriminālprocesā”, kas stājās spēkā 2018. gada 25. oktobrī, sākotnējās ietekmes novērtējuma ziņojuma (anotācijas) 5. sadaļā norādīts (https://titania.saeima.lv/LIVS12/SaeimaLIVS12.nsf/0/E6029B526E16BE95C225821F0036067B?OpenDocument#b), ka Eiropas Parlamenta un Padomes 2016. gada 11.maija Direktīvas (ES) 2016/800 par procesuālajām garantijām bērniem, kuri ir aizdomās turētie vai apsūdzētie kriminālprocesā (turpmāk – Direktīva 2016/800) 12. panta 5. punkta "e" apakšpunkts tiks transponēts ar grozījumiem Ministru kabineta 2006. gada 11. aprīļa noteikumos Nr. 289 "Noteikumi par īslaicīgās aizturēšanas vietas kamerā glabāšanai atļauto priekšmetu sarakstu" (turpmāk - MK noteikumi Nr. 289). MK noteikumi Nr. 289 attiecīgi precizēti ar grozījumu, kas stājās spēkā 2018. gada 13. jūlijā.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Problēmas un risinājumi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Problēmas 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 rosinājusi Iekšlietu ministrijai virzīt grozījumus MK noteikumos Nr. 289, lai ietvertu informatīvu atsauci uz Direktīvu 2016/800.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Risinājuma 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Projekts papildināts ar informatīvu atsauci uz Direktīvu 2016/800.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ir izvērtēti alternatīvie risinājumi?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Jā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Konceptuāli alternatīvi risinājumi nav iespējami, ievērojot Tieslietu ministrijas rosinātos grozījumus.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ir izvērtēts prasību un izmaksu samērīgums pret ieguvumiem?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1.4. Izvērtējumi/pētījumi, kas pamato TA nepieciešamību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1.5. Pēcpārbaudes (ex-post) izvērtējums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tiks veikts?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1.6. 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2. Tiesību akta projekta ietekmējamās sabiedrības grupas, ietekme uz tautsaimniecības attīstību un administratīvo slogu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Jā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2.1. Sabiedrības grupas, kuras tiesiskais regulējums ietekmē, vai varētu ietekmēt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Fiziskās personas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Personas, kas ievietotas īslaicīgās aizturēšanas vietā.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Ietekmes 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Ietekme ir nebūtiska.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Juridiskās personas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2.2. Tiesiskā regulējuma ietekme uz tautsaimniecību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2.3. Administratīvo izmaksu monetārs novērtējums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2.4. Atbilstības izmaksu monetārs novērtējums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3. Tiesību akta projekta ietekme uz valsts budžetu un pašvaldību budžetiem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4. Tiesību akta projekta ietekme uz spēkā esošo tiesību normu sistēmu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4.2. 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5. Tiesību akta projekta atbilstība Latvijas Republikas starptautiskajām saistībām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Jā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5.1. Saistības pret Eiropas Savienību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ir attiecināms?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Jā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ES tiesību akta CELEX numurs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32016L0800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ES tiesību akta datums, izdevējinstitūcija, numurs, veids un nosaukums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Eiropas Parlamenta un Padomes 2016. gada 11. maija Direktīva (ES) 2016/800 par procesuālajām garantijām bērniem, kuri ir aizdomās turētie vai apsūdzētie kriminālprocesā.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Direktīvas (ES) 2016/800 24. panta 1. punkts paredz, ka tās normas dalībvalsts tiesību aktos transponējamas līdz 2019. gada 11. jūnijam.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5.2. Citas starptautiskās saistības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ir attiecināms?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5.3.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5.4. 1. tabula. Tiesību akta projekta atbilstība ES tiesību aktiem</w:t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2410"/>
        <w:gridCol w:w="2410"/>
        <w:gridCol w:w="2410"/>
        <w:gridCol w:w="2410"/>
        <w:tblGridChange w:id="0">
          <w:tblGrid>
            <w:gridCol w:w="2410"/>
            <w:gridCol w:w="2410"/>
            <w:gridCol w:w="2410"/>
            <w:gridCol w:w="241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Attiecīgā ES tiesību akta datums, izdevējinstitūcija, numurs, veids un nosaukums</w:t>
            </w:r>
          </w:p>
        </w:tc>
        <w:tc>
          <w:tcPr>
            <w:shd w:fill="ffffff"/>
            <w:vAlign w:val="center"/>
            <w:noWrap w:val="true"/>
            <w:gridSpan w:val="3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Eiropas Parlamenta un Padomes 2016. gada 11. maija Direktīva (ES) 2016/800 par procesuālajām garantijām bērniem, kuri ir aizdomās turētie vai apsūdzētie kriminālprocesā.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b w:val="1"/>
                <w:rtl w:val="0"/>
              </w:rPr>
              <w:t xml:space="preserve">ES TA panta numurs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b w:val="1"/>
                <w:rtl w:val="0"/>
              </w:rPr>
              <w:t xml:space="preserve">Projekta vienība, kas pārņem vai ievieš A minēto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b w:val="1"/>
                <w:rtl w:val="0"/>
              </w:rPr>
              <w:t xml:space="preserve">Tiek pārņemts pilnībā vai daļēji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b w:val="1"/>
                <w:rtl w:val="0"/>
              </w:rPr>
              <w:t xml:space="preserve">Vai B minētais paredz stingrākas prasības un pamatojums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b w:val="1"/>
                <w:rtl w:val="0"/>
              </w:rPr>
              <w:t xml:space="preserve">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b w:val="1"/>
                <w:rtl w:val="0"/>
              </w:rPr>
              <w:t xml:space="preserve">B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b w:val="1"/>
                <w:rtl w:val="0"/>
              </w:rPr>
              <w:t xml:space="preserve">C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b w:val="1"/>
                <w:rtl w:val="0"/>
              </w:rPr>
              <w:t xml:space="preserve">D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12. panta 5. punkta "e" apakšpunkts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MK noteikumu Nr. 289 2.9. apakšpunkts, projekta 1. punkts (informatīva atsauce uz direktīvu)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Pārņemtas pilnībā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Stingrākas prasības nav paredzētas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Kā ir izmantota ES tiesību aktā paredzētā rīcības brīvība dalībvalstij pārņemt vai ieviest noteiktas ES tiesību akta normas? Kādēļ?</w:t>
            </w:r>
          </w:p>
        </w:tc>
        <w:tc>
          <w:tcPr>
            <w:shd w:fill="ffffff"/>
            <w:vAlign w:val="center"/>
            <w:noWrap w:val="true"/>
            <w:gridSpan w:val="3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Saistības sniegt paziņojumu ES institūcijām un ES dalībvalstīm atbilstoši normatīvajiem aktiem, kas regulē informācijas sniegšanu par tehnisko noteikumu, valsts atbalsta piešķiršanas un finanšu noteikumu (attiecībā uz monetāro politiku) projektiem</w:t>
            </w:r>
          </w:p>
        </w:tc>
        <w:tc>
          <w:tcPr>
            <w:shd w:fill="ffffff"/>
            <w:vAlign w:val="center"/>
            <w:noWrap w:val="true"/>
            <w:gridSpan w:val="3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Direktīvas 2016/800 24. panta 1. punkts paredz pienākumu paziņot Eiropas Komisijai par tiesību aktiem, ar kuriem transponēta minētā direktīva.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Cita informācija</w:t>
            </w:r>
          </w:p>
        </w:tc>
        <w:tc>
          <w:tcPr>
            <w:shd w:fill="ffffff"/>
            <w:vAlign w:val="center"/>
            <w:noWrap w:val="true"/>
            <w:gridSpan w:val="3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Pārējās Direktīvas 2016/800 normas transponētas vai tiks pārņemtas ar nacionālajiem tiesību aktiem kā norādīts: https://titania.saeima.lv/LIVS12/SaeimaLIVS12.nsf/0/E6029B526E16BE95C225821F0036067B?OpenDocument#b</w:t>
            </w:r>
          </w:p>
        </w:tc>
      </w:tr>
    </w:tbl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6. Projekta izstrādē iesaistītās institūcijas un sabiedrības līdzdalības process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Sabiedrības līdzdalība uz šo tiesību akta projektu neattiecas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6.1. Projekta izstrādē iesaistītās institūcijas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Valsts un pašvaldību institūcijas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Nevalstiskās organizācijas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6.2. Sabiedrības līdzdalības organizēšanas veidi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Veids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Publiskā apspriešana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Saite uz sabiedrības līdzdalības rezultātiem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https://vktap.mk.gov.lv/public_participations/public_discussions/be0ab37e-e950-42b9-934d-16a61296a29d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6.3. Sabiedrības līdzdalības rezultāti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līdzdalības ietvaros iebildumi vai priekšlikumi nav saņemti.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6.4.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7. Tiesību akta projekta izpildes nodrošināšana un tās ietekme uz institūcijām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Jā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7.1. Projekta izpildē iesaistītās institūcijas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Institūcijas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policija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7.2. Administratīvo izmaksu monetārs novērtējums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7.3. Atbilstības izmaksu monetārs novērtējums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7.4. Projekta izpildes ietekme uz pārvaldes funkcijām un institucionālo struktūru</w:t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4371"/>
        <w:gridCol w:w="900"/>
        <w:gridCol w:w="4371"/>
        <w:tblGridChange w:id="0">
          <w:tblGrid>
            <w:gridCol w:w="4371"/>
            <w:gridCol w:w="900"/>
            <w:gridCol w:w="437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b w:val="1"/>
                <w:rtl w:val="0"/>
              </w:rPr>
              <w:t xml:space="preserve">Ietekme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b w:val="1"/>
                <w:rtl w:val="0"/>
              </w:rPr>
              <w:t xml:space="preserve">Jā/Nē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b w:val="1"/>
                <w:rtl w:val="0"/>
              </w:rPr>
              <w:t xml:space="preserve">Skaidrojums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 Tiks veidota jauna institūcija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-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2. Tiks likvidēta institūcija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-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3. Tiks veikta esošās institūcijas reorganizācija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-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4. Institūcijas funkcijas un uzdevumi tiks mainīti (paplašināti vai sašaurināti)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-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5. Tiks veikta iekšējo institūcijas procesu efektivizācija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-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6. Tiks veikta iekšējo institūcijas procesu digitalizācija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-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7. Tiks veikta iekšējo institūcijas procesu optimizācija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-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8. Cita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-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-</w:t>
            </w:r>
          </w:p>
        </w:tc>
      </w:tr>
    </w:tbl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7.5.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Projektam nav ietekmes uz iestādes funkciju īstenošanu.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8. Horizontālās ietekmes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 Projekta tiesiskā regulējuma ietekme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8.1.1. uz publisku pakalpojumu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8.1.2. uz valsts un pašvaldību informācijas un komunikācijas tehnoloģiju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8.1.3. uz informācijas sabiedrības politikas īstenošanu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8.1.4. uz Nacionālā attīstības plāna rādītājiem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8.1.5. uz teritoriju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8.1.6. uz vidi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8.1.7. uz klimatneitralitāti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8.1.8. uz iedzīvotāju sociālo situāciju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8.1.9. uz personu ar invaliditāti vienlīdzīgām iespējām un tiesībām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8.1.10. uz dzimumu līdztiesību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8.1.11. uz veselību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8.1.12. uz cilvēktiesībām, demokrātiskām vērtībām un pilsoniskās sabiedrības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8.1.13. uz datu aizsardzību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8.1.14. uz diasporu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8.1.15. uz profesiju reglamentāciju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8.1.16. uz bērna labākajām interesēm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8.2.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Anotācija (ex-ante) 24-TA-964</w:t>
    </w:r>
    <w:r>
      <w:br/>
    </w:r>
    <w:r w:rsidR="00000000" w:rsidRPr="00000000" w:rsidDel="00000000">
      <w:rPr>
        <w:rtl w:val="0"/>
      </w:rPr>
      <w:t xml:space="preserve">Izdrukāts 29.07.2026. 21.39 - 2.0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Anotācija (ex-ante) 24-TA-964</w:t>
    </w:r>
    <w:r>
      <w:br/>
    </w:r>
    <w:r w:rsidR="00000000" w:rsidRPr="00000000" w:rsidDel="00000000">
      <w:rPr>
        <w:rtl w:val="0"/>
      </w:rPr>
      <w:t xml:space="preserve">Izdrukāts 29.07.2026. 21.39 - 2.0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anotācija_(ex_ante)_24-TA-964.docx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