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4.3.2. specifiskā atbalsta mērķa "Kultūras un tūrisma lomas palielināšana ekonomiskajā attīstībā, sociālajā iekļaušanā un sociālajās inovācijās"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kārtību, kādā tiek īstenots Eiropas Savienības kohēzijas politikas programmas 2021.-2027. gadam 4.3.2. specifiskais atbalsta mērķis “Kultūras un tūrisma lomas palielināšana ekonomiskajā attīstībā, sociālajā iekļaušanā un sociālajās inovācijās”.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attīstības stratēģijā līdz 2030. gadam (turpmāk – Latvija2030) kā pirmā prioritāte noteikta Kultūras telpas attīstība. Prioritātes ietvaros izvirzīts mērķis – saglabāt un attīstīt Latvijas kultūras kapitālu un veicināt piederības izjūtu Latvijas kultūras telpai, attīstot sabiedrības radošumā balstītu konkurētspējīgu nacionālo identitāti un veidojot Latvijā kvalitatīvu kultūrvidi. Viens no risinājumiem Latvijas kultūras telpas stiprināšanai ir kultūras mantojuma potenciāla izmantošana radošā tūrisma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Nacionālais attīstības plāna 2021.-2027. gadam (apstiprināts Saeimas 2020. gada 2. jūlija sēdē) (turpmāk – NAP2027) prioritātes “Kultūra un sports aktīvai un pilnvērtīgai dzīvei” rīcības virziena “Cilvēku līdzdalība kultūras un sporta aktivitātēs” 360. mērķis “Kultūras un fizisko aktivitāšu pieejamība visiem, paaugstinot Latvijas sabiedrības dzīves kvalitāti” nosaka 361. apakšmērķi “Līdzdalība kultūras dzīvē sekmē pilsoniskās sabiedrības attīstību un stiprina demokrātijas vērtības. Līdzvērtīgs kultūras piedāvājums dažādām mērķgrupām, respektējot kultūras izpausmju daudzveidību, var kalpot par sociālās kohēzijas instrumentu, tādējādi paaugstinot arī kopējo dzīves kvalitātes uztveri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uzsvērts, ka kultūrai ir vadošā loma cilvēka intelektuālās attīstības un personības izaugsmes ceļā, tā palīdz veidot prasmes radošās darbības attīstībai, veicina ne tikai personiskās, bet arī reģionālās, nacionālās identitātes un piederības izjūtu, sekmē pilsoniskās sabiedrības attīstību un stiprina demokrātijas vērtības. Līdz ar to NAP2027 kultūra izvirzīta kā viena no prioritātēm, par šīs prioritātes sasniedzamajiem mērķiem nosakot ikvienam pieejamu dinamisku kultūras pakalpojumu klāstu un kultūras pienesumu Latvijas ekonomiskajai un sociālajai izaugsmei, veidojot radošu un ilgtspējīgu Latvijas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 Kultūrpolitikas pamatnostādņu 2022.-2027. gadam “Kultūrvalsts” (apstiprinātas ar Ministru kabineta 2022. gada 1. marta rīkojumu Nr. 143) (turpmāk – Kultūrpolitikas pamatnostādnes) mērķi ir izvirzīta ilgtspējīga un sabiedrībai pieejama kultūra cilvēka izaugsmei un nacionālas valsts attīstībai. Izvirzītā mērķa sasniegšanā galvenā loma ir kultūras piedāvājuma piekļūstamības nodrošināšanai, garantējot ikvienam Latvijas pilsonim un iedzīvotājam vienlīdzīgas iespējas izmantot daudzveidīgu kultūras piedāvājumu un aktīvi iesaistīties kultūras procesos, neatkarīgi no cilvēka dzīvesvietas, vecuma, dzimuma, tautības, izglītības vai ienākumu līmeņa. Saprotot, ka ikvienam ir atšķirīgas kultūras vajadzības, kultūrpolitikas īstenošanā uzsvars likts uz sabalansētu visu kultūras apakšnozaru attīstību, nodrošinot nepieciešamos priekšnosacījumus to darbībai un attīstībai, no kuriem visbūtiskākais ir nozaru cilvēkresursu ataudze un profesionalitāte, tādējādi nodrošinot augstvērtīga kultūras piedāvājuma radīšanu ne tikai nākamajos septiņos gados, bet arī ilgākā laika periodā. Vienlaikus izvirzītā mērķa sasniegšanai svarīga ir līdz šim uzkrātā kultūras mantojuma mērķtiecīga saglabāšana un priekšnosacījumu radīšana tā aktīvai izmantošanai kultūras procesos, tādējādi veidojot sasaisti starp mantotajām un jaunradītajām kultūras vērtībām.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Objektīvs šķērslis plašākam kultūras patēriņam ir attālums no cilvēka dzīvesvietas līdz kultūras pakalpojuma saņemšanas vietai. Iedzīvotājiem nozīmīgākā kultūras pakalpojumu saņemšanas vieta ir respondentu dzīves vieta (pilsēta vai pagasts). 2018. gadā veiktā Kultūras patēriņa pētījums[1] ietvaros secināts, ka motivācija apmeklēt interesējošu kultūras pasākumu sāk būtiski samazināties pie attāluma apmēram vienas stundas brauciena robežās. Tas nozīmē, ka motivācija pārvarēt attālumu uz pasākumiem, par kuriem cilvēkam nav īpašas intereses, būs vēl mazāka – un distances nozīme lielāka.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identificētu aktuālās kultūras patēriņa un līdzdalības tendences, Kultūras ministrija reizi divos gados īsteno kultūras patēriņa un līdzdalības ietekmes pētījumus. 2020. gadā veiktā pētījuma[2] (turpmāk – 2020. gada Kultūras patēriņa un līdzdalības ietekmes pētījums) dati liecina, ka dažādās sabiedrības grupās kultūras patēriņa rādītāji ir atšķirīgi, ko nosaka gan auditoriju sociālekonomiskais profils, gan atšķirīgās kultūras vajadzības un kultūras patēriņa ieradumi, atklājot, ka visbiežāk kultūras pasākumus iedzīvotāji apmeklē savā pilsētā vai pagastā - to ir darījuši kopumā 80% aptaujāto. Ārpus savas dzīvesvietas, bet savā reģionā, pasākumus ir apmeklējuši 57% iedzīvotāju, bet citā reģionā – 40%.  tāpat Kultūras patēriņa un līdzdalības ietekmes pētījumā secināts, ka mazaktīvi bieži ir no 55 līdz 74 gadus veci, ar zemiem ienākumiem, laukos dzīvojošie, cittautieši un tie, kas dzīvo vieni – grupas, kas kultūras piekļūstamībā tiek marginalizētas, to kultūras patēriņam samazinoties.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Esošajam kultūras organizāciju tīklam ir nozīmīga sociālekonomiskā ietekme uz reģionu attīstību, dzīves vides kvalitāti un sabiedrības labbūtību. Mainoties administratīvi teritoriālajai struktūrai un veidojot lielākas teritoriālās vienības, kas vairumā gadījumu nozīmē attāluma palielināšanos starp dzīvesvietu un administratīvi teritoriālās vienības centru, kultūras organizācijām ir potenciāls attīstīties kā vietējo kopienu centriem, pārsniedzot tām līdz šim noteiktās tikai kultūras nozares funkciju robežas. Vienlaikus šādiem centriem ir iespēja veicināt pašvaldības iedzīvotāju pilsonisko aktivitāti, radot apstākļus sociālās uzņēmējdarbības attīstībai administratīvajā teritorijā un ar novadpētniecisku aktivitāšu palīdzību stiprinot lokālpatriotismu.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reģionālo reformu, kultūras centriem būtu jāpalielina savas kompetences kultūras līdzdalības un kopienas kohēzijas veicināšanā, lai, izstrādājot jaunas metodes un nodrošinot saistošu saturu, stimulētu kultūras un kopienas dzīvi.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procesu vitalitātei un ilgtspējai ārkārtīgi nozīmīga ir iedzīvotāju iesaiste kultūras procesos, tādējādi stiprinot vietējo kopienu kultūras identitāti un saglabājot un popularizējot latviskās tradīcijas un dzīvesziņu. Kultūras ministrijas veiktie kultūras patēriņa un līdzdalības ietekmes pētījumi liecina, ka tie iedzīvotāji, kuri ir aktīvi kultūras patēriņā, ir aktīvi arī līdzdalībā (un otrādi). Līdzdalības sekmēšana ir būtiska ne tikai amatiermākslas un nemateriālā kultūras mantojuma vērtību ilgtspējas nodrošināšanai, bet arī mūsdienu kultūras izpausmju popularizācijai. Vienlaikus līdzdalība kultūrā sniedz būtisku ieguldījumu pilsoniskas un iekļaujošas sabiedrības veidošanās procesā, kam spilgts piemērs ir apkaimju kopienu aktivitātes kultūras piedāvājuma veidošanā un nevalstiskā sektora nozīmes pieaugums kultūras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Kultūrpolitikas pamatnostādnes piedāvā īstenot pasākumu kompleksu, kuru mērķis ir mazināt šķēršļus kultūras piekļūstamībai, it īpaši Latvijas reģionos un attiecībā uz konkrētām mērķgrupām, tostarp cilvēkiem ar funkcionāliem traucējumiem, diasporā dzīvojošajiem, mazākumtautību pārstāvjiem un imigrantiem, bērniem un jauniešiem, senioriem. Vienlaikus kultūras patēriņa stimulēšanai nepieciešams attīstīt kultūras satura daudzveidību, veidojot mūsdienīga, kvalitatīva, atpazīstama satura piedāvājumu un īstenojot integrētas kultūras norišu programmas, piemēram, Eiropas kultūras galvaspilsētas iniciatīvas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pateicoties Nemateriālā kultūras mantojuma likuma pieņemšanai un Nacionālā nemateriālā kultūras mantojuma saraksta izveidei, ir būtiski nostiprināta izpratne par nemateriālo kultūras mantojumu kā par vienu no latviskās kultūrtelpas stūrakmeņiem.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Kultūrpolitikas reģionālie aspekti integrēti visos piecos Kultūrpolitikas pamatnostādņu rīcības virzienos, tai skaitā, paredzot stimulēt daudzveidīga kultūras piedāvājuma reģionālo piekļūstamību, paredzot sekmēt līdzdalību kultūras procesos visā Latvijas teritorijā, kā arī veicinot kultūras mantojuma saglabāšanu un izmantošanu Latvijas reģionu attīstībai. Reģionālajā kontekstā būtiska un attīstāma ir gan profesionālās mākslas piekļūstamība reģionos, gan līdzsvarota kultūras mantojuma izmantošana, gan vienlīdzīgas iespējas lietot digitālos kultūras pakalpojumus, gan vietējā kultūrvidē balstītas radošo industriju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2018. gada Kultūras patēriņa pētījums. Pieejams: https://www.km.gov.lv/sites/km/files/lka20zpc_kulturas20paterins20un20lidzdaliba2020181.pdf.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LKA, SIA "Analītisko pētījumu un stratēģiju laboratorija", SIA "SKDS" (2020). Kultūras patēriņa un līdzdalības ietekmes pētījums. Pieejams: https://www.km.gov.lv/lv/media/11801/download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3Jāņem vērā, ka pētījumā iekļauti dati par kultūras patēriņu periodā no 2019. gada oktobra līdz 2020. gada oktobrim.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21. oktobrī apstiprināja Partnerības līgumu Eiropas Savienības investīciju fondu 2021.-2027. gada plānošanas periodam, kas nosaka, ka politikas mērķa “Sociālāka un iekļaujošāka Eiropa, īstenojot Eiropas sociālo tiesību pīlāru” ietvaros, izmantojot kultūras kapitāla un sociālo inovāciju sniegtās iespējas ar mērķi radīt pozitīvu ietekmi uz reģionu un pilsētu ilgtspējīgu sociālekonomisko attīstību, plānoti iekļaujoši un inovatīvi pasākumi, veicinot vienlīdzīgu kultūras piekļūstamību cilvēkiem ar funkcionāliem traucējumiem, diasporai, mazākumtautību pārstāvjiem un imigrantiem, bērniem un jauniešiem, cilvēkiem, kuri pakļauti sociāli ekonomiskiem atstumtības riskiem. Vienlaikus plānots atbalstīt pasākumus kopienas nemateriālā mantojuma potenciāla izmantošanai vietējās ekonomikas un tūrisma piedāvājuma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25. novembrī apstiprināja Latvijas izstrādāto Eiropas Savienības kohēzijas politikas programmu 2021.-2027. gadam (turpmāk – Programma). Saskaņā ar Programmā noteiktajām investīcijām Programmas 4.3. prioritātes “Nodarbinātība un sociālā iekļaušana” 4.3.2. specifiskā atbalsta mērķa “Kultūras un tūrisma lomas palielināšana ekonomiskajā attīstībā, sociālajā iekļaušanā un sociālajās inovācijās” ietvaros atbalstāmas investīcijas kultūras piedāvājuma piekļūstamības nodrošināšanai reģionos ar mērķi radīt pozitīvu ietekmi uz vietējām kopienām, kā arī reģionu un pilsētu ekonomisko attīstību un sociālās iekļaušanas izaicinājumu risināšanu, tai skaitā stiprinot vietējo kopienu organizāciju (sadarbībā ar vietējām pašvaldībām) centrālo lomu sociālās iekļaušanas pasākumu nodrošināšanā un veicinot darba vietu saglabāšanu un jaunu darba vietu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Latvija2030, NAP2027 un Kultūras pamatnostādnēs identificētos izaicinājumus, Projekts paredz Programmas 4.3. prioritātes “Nodarbinātība un sociālā iekļaušana” 4.3.2. specifiskā atbalsta mērķa “Kultūras un tūrisma lomas palielināšana ekonomiskajā attīstībā, sociālajā iekļaušanā un sociālajās inovācijās” (turpmāk – specifiskais atbalsts) ietvaros atbalstu jauna, uz sociālo iekļaušanu orientēta kultūras piedāvājuma radīšanai, vienlaikus attīstot jaunas pieejas, piemēram, kultūras, veselības un sociālās jomas operatoru sadarbības veicināšanai. Kultūras piedāvājuma izveides nolūkos var tikt atbalstītas arī nepieciešamās investīcijas organizāciju, kas aktivizē vietējās kopienas, tai skaitā mantojuma kopienas, un pašvaldību kapacitātes stiprināšanā, tostarp aprīkojumā un infrastruktūrā. Atbalstāma arī profesionālo kompetenču pilnveidošana, attīstot prasmes, kas nepieciešamas kvalitatīvu, mērķauditoriju vajadzībā balstītu pakalpojumu sniegšanai, ja ir skaidri demonstrējama sasaiste starp veiktajām investīcijām un jaunveidojamajiem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sabiedrības, īpaši mazāk aizsargāto grupu, sociālo iekļaušanos un ar kultūras pieredzes un pakalpojumu starpniecību mazinātu sociālo nevienlīdzību, specifiskā atbalsta ietvaros atbalstāma vietējo kopienu organizāciju sniegto pakalpojumu piekļūstamība, tostarp piekļūstamība cilvēkiem ar funkcionāliem traucējumiem u.c. sociāli mazaizsargātām grupām ar zemu kultūras līdzdalības īpatsvaru, kā arī kultūras pakalpojumu saturiskā tvēruma paplašināšana, tostarp sociāli aktuālu tēmu integrācija kultūras piedāvājumā un integrētu kultūras pieredžu veidošana, vienlaikus atbalstot plašāku digitalizācijas iespēju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specifiskā atbalsta ietvaros atbalstāma kopienas kultūras identitātes stiprināšana un nemateriālā mantojuma potenciāla izmantošana vietējās ekonomikas attīstībai, veicinot kopienu dzīves kvalitātes uzlabošanos, tūrisma plūsmu palielināšanos un stimulē uzņēmējdarbību un nodarbinātību un jaunu darbavietu radīšanu. Lai nodrošinātu iniciatīvas Eiropas Jaunais “Bauhaus” principu ievērošanu, investīcijas veicamas, iesaistot vietējās kopienas prioritāro projekta ideju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mērķis ir uz sociālo iekļaušanu orientēta un mērķa grupas vajadzībās balstīta kultūras piedāvājuma veidošana, kas rada pozitīvu ietekmi uz vietējām kopienām, veicina dialogu ar sociāli mazaizsargātām sabiedrības grupām un ar kultūras pakalpojumu starpniecību mazināta sociālo nevienlīdzību un stiprina kopienas kultūras identitāti, tūrisma plūsmu palielināšanos un stimulē uzņēmējdarbību un nodarbinātību un jaunu darbavietu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ierosinājusi grozījumiem Eiropas Savienības kohēzijas politikas programmā 2021.-2027. gadam, sniedzot skaidrojumu par kopējā iznākuma rādītāja vērtības samazinājumu. Vienlaikus paredzot risku, ka Eiropas Komisija var neatbalstīt Kultūras ministrijas ierosinātos grozījumus, nepieciešamības gadījumā Kultūras ministrija veiks attiecīgus grozījumus noteikumos par specifiska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Specifiskais atbalsts tiks īstenots atklātas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izmaksas ir attiecināmas no Projekta spēkā stāšanās dienas, ievērojot, ka projektā neiekļauj darbības, kas ir pabeigtas vienošanās vai līguma par projekta īstenošanu noslēgšanas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tiek piemērota teritoriālā pieeja, paredzot, ka katrā plānošanas reģionā (Kurzemes, Zemgales, Vidzemes, Latgales un Rīgas plānošanas reģionā) tiks īstenots vismaz 1 projekts. Projektu iesniegumu atlasē paredzot projektu iesniegumu ranžēšanas principu, kas paredz līdzvērtīgas iespējas īstenot efektīvākos projektus visos plānošanas reģionos. Projekta iesnieguma īstenošanas reģions tiek noteikts atbilstoši infrastruktūras, kurā tiek veikti ieguldījumi, faktiskajai adresei, kas tiek noteikta Nekustamā īpašuma valsts kadastra informācijas sistēmā. Projekta iesniegumu ranžēšanas nosacījumi tiek noteikti specifiskā atbalsta projekta iesniegumu atlases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kādā no plānošanas reģioniem nav iesniegts neviens projekta iesniegums, kas atbilst specifiskā atbalsta īstenošanas nosacījumiem, tiek atbalstīts nākamais projekta iesniegums, kas ieguvis visaugstāko punktu skaitu, neatkarīgi no tā piederības plānošanas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projekta iesniedzējs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nodibinājums un cita privāto tiesību juridiska persona, valsts iestāde, atvasināta publiska persona, pašvaldības iestāde vai valsts un pašvaldības kapitālsabiedrība, kuras pamatdarbība ir kultūras vai radošajā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kas projekta īstenošanai piesaista sadarbības partneri, kura pamatdarbība ir kultūras vai radošajā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kas projekta iesniegumu iesniedz pašvaldības kultūras iestādes, kas ir reģistrētas ar vienoto pašvaldības reģistrācijas numuru un kuras pamatdarbība ir kultūras vai radošajā nozarē, vārdā.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kas projekta iesniegumu iesniedz pašvaldības kultūras iestādes, kas ir reģistrētas ar vienoto pašvaldības reģistrācijas numuru un kuras pamatdarbība ir kultūras vai radošajā nozarē, vārdā, sadarbības partneri, kura pamatdarbība ir kultūras vai radošajā nozarē, var nepiesaistīt.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specifiskā atbalsta ietvaros projekta īstenošanai var piesaistīt sadarbības partneri – biedrību, nodibinājumu un citu privāto tiesību juridisku personu, valsts iestādi, atvasinātu publisku personu, pašvaldības iestādi vai valsts un pašvaldības kapitālsabiedrību, kuras pamatdarbība ir kultūras vai radošajā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 un sadarbības partnera darbības atbilstība kultūras vai radošajai nozarei vērtējama atbilstoši projekta iesniedzēja vai sadarbība partnera Latvijas Republikas Uzņēmumu reģistrā vai Biedrību un nodibinājumu reģistrā norādītajam darbības veidam un mērķiem, kas vērtējami pret Kultūras institūciju likuma 2. panta otrajā daļā noteiktajām kultūras institūciju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projekta iesniedzējam vai sadarbības partnerim, kura pamatdarbība ir kultūras vai radošajā nozarē, uz projekta iesniegšanas dienu ir izstrādāta organizācijas darbības stratēģija, kurā noteikti vidēja termiņa darbības mērķi, kas liecina par sabiedrības ieguvumiem no projektā attīstītajiem pakalpojumiem, paredz veicināt kultūras pakalpojumu piekļūstamību, tostarp attīstot pakalpojumus vismaz vienai sociāli mazaizsargāto iedzīvotāju grupai. Organizācijas darbības stratēģija ir apstiprināta projekta iesniedzēja vai sadarbības partnera, kura pamatdarbība ir kultūras vai radošajā nozarē, noteiktā kārtībā. Kultūras ministrijas kā atbildīgās iestādes deleģēts vērtēšanas komisijas loceklis vai eksperts nodrošina organizācijas darbības stratēģijas vērtējumu atbilstoši specifiskā atbalsta projekta iesnieguma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plānotais kopējais attiecināmais finansējums ir 20 166 038 </w:t>
      </w:r>
      <w:r w:rsidR="00000000" w:rsidRPr="00000000" w:rsidDel="00000000">
        <w:rPr>
          <w:i w:val="1"/>
          <w:rtl w:val="0"/>
        </w:rPr>
        <w:t xml:space="preserve">euro </w:t>
      </w:r>
      <w:r w:rsidR="00000000" w:rsidRPr="00000000" w:rsidDel="00000000">
        <w:rPr>
          <w:rtl w:val="0"/>
        </w:rPr>
        <w:t xml:space="preserve">(no tā elastības finansējums – 5 243 899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17 141 132 </w:t>
      </w:r>
      <w:r w:rsidR="00000000" w:rsidRPr="00000000" w:rsidDel="00000000">
        <w:rPr>
          <w:i w:val="1"/>
          <w:rtl w:val="0"/>
        </w:rPr>
        <w:t xml:space="preserve">euro </w:t>
      </w:r>
      <w:r w:rsidR="00000000" w:rsidRPr="00000000" w:rsidDel="00000000">
        <w:rPr>
          <w:rtl w:val="0"/>
        </w:rPr>
        <w:t xml:space="preserve">(no tā elastības finansējums – 4 457 314 </w:t>
      </w:r>
      <w:r w:rsidR="00000000" w:rsidRPr="00000000" w:rsidDel="00000000">
        <w:rPr>
          <w:i w:val="1"/>
          <w:rtl w:val="0"/>
        </w:rPr>
        <w:t xml:space="preserve">euro</w:t>
      </w:r>
      <w:r w:rsidR="00000000" w:rsidRPr="00000000" w:rsidDel="00000000">
        <w:rPr>
          <w:rtl w:val="0"/>
        </w:rPr>
        <w:t xml:space="preserve">) un nacionālais finansējums (valsts budžeta līdzfinansējums, pašvaldību līdzfinansējums un privātais līdzfinansējums) – ne mazāk kā 3 024 906 </w:t>
      </w:r>
      <w:r w:rsidR="00000000" w:rsidRPr="00000000" w:rsidDel="00000000">
        <w:rPr>
          <w:i w:val="1"/>
          <w:rtl w:val="0"/>
        </w:rPr>
        <w:t xml:space="preserve">euro </w:t>
      </w:r>
      <w:r w:rsidR="00000000" w:rsidRPr="00000000" w:rsidDel="00000000">
        <w:rPr>
          <w:rtl w:val="0"/>
        </w:rPr>
        <w:t xml:space="preserve">(no tā elastības finansējums – 786 585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projektu iesniegumu atlasi var uzsākt un līgumu vai vienošanos par projekta īstenošanu var slēgt, ievērojot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86. pantā noteikto, ka elastības finansējuma apjoms ir 50 procenti no dalībvalstij pieejamā Eiropas Savienības fondu finansējuma 2026. gadam un 2027. gadam, attiecīgi specifiskajam atbalstam pieejamais kopējais finansējums līdz 2025. gada 31. decembrim, lai slēgtu līgumu vai vienošanos par projektu īstenošanu, ir ne vairāk kā 14 922 139 </w:t>
      </w:r>
      <w:r w:rsidR="00000000" w:rsidRPr="00000000" w:rsidDel="00000000">
        <w:rPr>
          <w:i w:val="1"/>
          <w:rtl w:val="0"/>
        </w:rPr>
        <w:t xml:space="preserve">euro</w:t>
      </w:r>
      <w:r w:rsidR="00000000" w:rsidRPr="00000000" w:rsidDel="00000000">
        <w:rPr>
          <w:rtl w:val="0"/>
        </w:rPr>
        <w:t xml:space="preserve">, tai skaitā ERAF finansējums granta veidā 12 683 818 </w:t>
      </w:r>
      <w:r w:rsidR="00000000" w:rsidRPr="00000000" w:rsidDel="00000000">
        <w:rPr>
          <w:i w:val="1"/>
          <w:rtl w:val="0"/>
        </w:rPr>
        <w:t xml:space="preserve">euro </w:t>
      </w:r>
      <w:r w:rsidR="00000000" w:rsidRPr="00000000" w:rsidDel="00000000">
        <w:rPr>
          <w:rtl w:val="0"/>
        </w:rPr>
        <w:t xml:space="preserve">un nacionālais finansējums 2 238 321 </w:t>
      </w:r>
      <w:r w:rsidR="00000000" w:rsidRPr="00000000" w:rsidDel="00000000">
        <w:rPr>
          <w:i w:val="1"/>
          <w:rtl w:val="0"/>
        </w:rPr>
        <w:t xml:space="preserve">euro</w:t>
      </w:r>
      <w:r w:rsidR="00000000" w:rsidRPr="00000000" w:rsidDel="00000000">
        <w:rPr>
          <w:rtl w:val="0"/>
        </w:rPr>
        <w:t xml:space="preserve">. Atbildīgā iestāde pēc Eiropas Komisijas lēmuma par vidusposma pārskatu var ierosināt no 2026. gada 1. janvāra palielināt specifiskajam atbalstam pieejamo kopējo finansējumu līdz specifiskajam atbalstam plānotajam kopējam finansējuma apmēram, paredzot to novirzīt secīgi nākamā kvalitatīvā projekta iesnieguma ar augstāko vērtējumu saskaņā ar kvalitātes kritērijiem atbalstīšanai.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Reģionālās attīstības fonda maksimālā finansējuma likme nepārsniedz 85 procentus no projekta kopējām attiecināmajām izmaksām. Valsts budžeta līdzfinansējums valsts iestādēm, valsts kapitālsabiedrībām un atvasinātām publiskām personām (augstskolām un zinātniskajiem institūtiem) ir 15 procenti no projekta kopējām attiecināmajām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kapitālsabiedrībai valsts budžeta līdzfinansējums paredzams par valsts pārvaldes deleģēto uzdevumu izpildi – par valsts nekustamā īpašuma pārvaldību un valsts nekustamā īpašuma attīstības vadību vai deleģēto valsts pārvaldes uzdevumu kultūras jomā veikšanu atbilstoši līgumiem, kas noslēgti ar Kultūras ministriju par valsts pārvaldes uzdevumu deleģēšanu kultūras jomā un to finansēšanu.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kohēzijas politikas programmai 2021.-2027. gadam specifiskā atbalsta finansējuma sadalījums pa intervences kodiem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166 “Kultūras mantojuma aizsardzība, pilnveidošana un popularizēšana un kultūras pakalpojumi” –  ERAF finansējums 17 141 132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 “Dotācija” – ERAF finansējums 17 141 132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“Teritoriālie sasniegšanas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33 “Bez teritoriālā mērķa” – ERAF finansējums 17 141 132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“ESF+ sekundārās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9 “Nav piemērojams” – ERAF finansējums 17 141 132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“Dzimumu neitralitāte” – ERAF finansējums 17 141 132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avansa piešķiršanas nosacījumus un avansa apmēru, paredzot, ka sadarbības iestāde, ja tai ir pieejami valsts budžeta līdzekļi, izvērtējot plānotā avansa apmēru, tā pamatojumu, pamatojoties uz finansējuma saņēmēja rakstisku avansa pieprasījumu, var piešķirt finansējuma saņēmējam avansu pēc līguma vai vienošanās par projekta īstenošanu noslēgšanas. Finansējuma saņēmējs, kas ir pašvaldība,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ERAF un valsts budžeta līdzfinansējuma kopsummas, ja tas paredzēts projektā, ievērojot, ka avansu var izmaksāt vairākos maksājumos un avansa un starpposma maksājumu kopsumma valsts iestādei, atvasinātai publiskai personai, pašvaldībai, pašvaldības iestādei vai valsts un pašvaldības kapitālsabiedrībai vai citai privāto tiesību juridiskai personai nepārsniedz 90 procentus un biedrībai vai nodibinājumam 95 procentus no projektam piešķirtā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avansa apjoms pieļaujams, ņemot vērā nepieciešamību nodrošināt pēc iespējas ātrāku projektu īstenošanas uzsākšanu. Tā kā izmaksas ir attiecināmas no Projekta spēkā stāšanās dienas, ir pieļaujams, ka par projekta būvniecības darbībām projekta iesnieguma iesniegšanas brīdī jau ir noslēgts būvdarbu līgums un uzsākti būvdarbi. Avansa apjoms katram projektam ir nosakāms individuāli. Saskaņā ar Biedrību un nodibinājumu likumu biedrības un nodibinājuma darbībai nav peļņas gūšanas rakstura, attiecīgi biedrības un nodibinājumi finansējumu savai darbībai nodrošina, piesaistot valsts budžeta un ārvalstu finansējumu projektu īstenošanai, līdz ar to, lai mazinātu projekta finanšu plūsmas riskus, būtiski paredzēt, ka biedrībai vai nodibinājumam avansa un starpposma maksājuma kopsumma nepārsniedz 95 procentus no projektam piešķirtā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veic izmaksu un ieguvumu analīzi, ievērojot, ka projekta ekonomiskā ienesīguma norma ir lielāka par sociālo diskonta likmi un projekta ekonomiskā neto pašreizējā vērtība ir lielāka par nulli,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kopējās attiecināmās izmaksas ir vismaz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iesniedzējs pretendē uz komercdarbības atbalstu saskaņā ar Eiropas Komisijas 2014. gada 17. jūnija Regulas (ES) Nr. 651/2014, ar ko noteiktas atbalsta kategorijas atzīst par saderīgām ar iekšējo tirgu, piemērojot Līguma 107. un 108. pantu (turpmāk – Regula Nr. 651/2014) 53.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specifiskā atbalsta ieguldījumu veikšanas attiecīgais objekts nodrošinās ilgtspējību, demonstrējot projekta iesniedzēja spēju nodrošināt objekta uzturēšana pēc projekta īstenošanas pabeigšanas. Finansējuma saņēmējs un sadarbības partneris nodrošina projekta ietvaros sasniegto rezultātu ilgtspēju vismaz piecus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specifiskā atbalsta ietvaros ir atbalstāmas darbības, kas sekmē specifiskā atbalsta un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 sociālo iekļaušanu orientētu jaunu kultūras pakalpojumu radīšana vai esošo kultūras pakalpojumu pielāgošana sociāli mazaizsargātam iedzīvotāju grupām, tostarp kultūras pakalpojumu saturiskā tvēruma paplašināšana un kultūras pakalpojumu piekļūstamības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mērķa grupas vajadzībās balstīta kultūras piedāvājuma īstenošana, kas veicina dialogu ar sociāli mazaizsargātām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profesionālo kompetenču pilnveidošana, attīstot prasmes, kas nepieciešamas kvalitatīvu, mērķa grupas vajadzībās balstītu kultūras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kultūras infrastruktūras attīstīšana un aprīkojuma noma un iegāde, ja tā nepieciešama kultūras pakalpojuma izveidi vai pielāgošanai;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komunikācijas un vizuālās identitātes prasību nodrošināšanas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vai sadarbības partneris ir apzinājis mērķa grupas vajadzības un projekta ietvaros paredzēts strādāt ar sociāli mazaizsargātām grupām ar zemu kultūras līdzdalības īpatsvaru, projekta īstenošanā piesaistot ekspertus vai sadarbības partneri, kam ir pieredze sociāli iekļaujoša kultūras satura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plānotie infrastruktūras attīstības darbi ir pamatoti, ja tie nepieciešami, lai īstenotu organizācijas darbības stratēģijā plānotos kultūras pakalpojumus un veicinātu līdztiesību kultūras norišu vides piekļūstamībā.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visām paredzētajām būvniecības darbībām sagatavots projektēšanas uzdevums par būvniecības ieceres dokumentu sagatavošanu vai iesniegta būvvaldes izziņa, kas apliecina, ka iepriekš minētie dokumenti nav nepieciešami, un iesniegta indikatīva būvdarbu izmaksu aplēse (tāme).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paredzētas attiecināmās izmaksas, kas nepieciešamas projektā plānoto darbību īstenošanai. Attiecināmajās izmaksās ir iekļaujamas projekta vadības un īstenošanas personāla izmaksas, projektu pamatojošās dokumentācijas sagatavošanas izmaksas, ekspertu izmaksas, kas tieši saistītas ar investīcijām infrastruktūrā, tai skaitā būvuzraudzības, autoruzraudzības un arheoloģiskās uzraudzības izmaksas, būvdarbu izmaksas, tai skaitā teritorijas labiekārtošanas izmaksas, kas nepieciešamas teritorijas un objektu funkcionalitātes nodrošināšanai (labiekārtojuma elementu uzstādīšana (videi draudzīgas un personām ar dažādiem funkcionāliem traucējumiem atbilstošas apgaismojuma sistēmas izbūve vai esošās apgaismojuma sistēmas renovācija, tai skaitā apgaismojuma sistēmai nepieciešamā elektrotīklu izbūve vai pārbūve, soliņi un galdi lietošanai ārtelpā, atkritumu tvertnes, velosipēdu novietnes, žogi), vājstrāvu tīklu izbūve vai esošo vājstrāvu tīklu pārbūve, kas nepieciešama ārtelpas ierīkošanai un drošībai, tai skaitā videonovērošanas kameru iegāde un uzstādīšana), telpu aprīkošana un pielāgošana pakalpojumu sniegšanai, kas nepieciešama būves vai tās daļas pieņemšanai ekspluatācijā, kultūras pakalpojuma izveides un īstenošanas izmaksas, darba vietas aprīkojuma iegādes vai nomas, tai skaitā aprīkojuma uzturēšanas un remonta izmaksas, profesionālo kompetenču pilnveidošanas un pieredzes apmaiņas organizēšanas izmaksas (piemēram, semināri, pieredzes apmaiņas pasākumi u.c), aprīkojuma iegādes un uzstādīšanas izmaksas, izmaksas, kas saistītas ar būves nodošanu ekspluatācijā, projekta komunikācijas un vizuālās identitātes prasību nodrošināšanas pasākumu izmaksas, kā arī izmaksas horizontālā principa “vienlīdzība, iekļaušana, nediskriminācija un pamattiesību ievērošana” īstenošanai, kas nepieciešamas, lai nodrošinātu atbilstību vides un informācijas piekļūstamības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izvērtējusi iespēju specifiskā atbalsta ietvaros piemērot vienkāršotās izmaksas un secinājusi, ka attiecībā uz personāla izmaksām vienkāršoto izmaksu vienotās likmes līdz 20 % no pārējām tiešajām attiecināmajām izmaksām piemērošana nav atbilstoša, jo Specifiskā atbalsta ietvaros paredzēts nodrošināt kultūras pakalpojumu īstenošanas personāla izmaksas, paredzot starpdisciplināru sadarbību ar dažādu jomu ekspertiem (kultūras, veselības un sociālās jomas), lai reaģētu uz mērķauditorijas specifiskajām vajadzībām un precīzāk sasniegtu auditoriju, strādājot starpdisciplinārā komandā. Attiecīgi vienotās likmes līdz 20 % apmērā piemērošana ir nepietiekama šāda veida projekta īstenošanai, savukārt, personāla atlīdzības vienas vienības izmaksu standarta likmes piemērošana nav atbilstoša, jo pirms projektu iesniegumu iesniegšanas nav iespējams definēt visus starpdisciplinārās projekta īstenošanas personāla amatus un atalgojuma sliekšņus.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identificētas citas izmaksas, kuru vienkāršākai uzskaitei būtu lietderīgi izstrādāt tādu vienkāršoto izmaksu metodiku, kas neierobežos projektu mērķu un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specifiskā atbalsta ietvaros nav plānots piemērot citas vienkāršotās izmaksas. Ņemot vērā, ka kultūras mantojuma atjaunošanā un kultūras infrastruktūras būvniecībā netiek piemēroti standartizēti būvniecības risinājumi, papildus radot individuālu ēku dizainu un plānojumu, tai skaitā ievērojot Jaunā Eiropas Bauhaus principus, vienkāršoto izmaksu piemērošana specifiskā atbalsta ietvaros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Specifiskais atbalsts tiek īstenots, ievērojot: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Jaunā Eiropas Bauhaus principus: estētiku, ilgtspēju, iekļautību, tai skaitā iekļaujot publiskās ārtelpas attīstības risinājumus apkārtējā ainavā, nodrošinot dabā balstīto risinājumu un universālā dizaina principu ievērošanu (pieejams: https://www.cfla.gov.lv/lv/media/13806/download?attachment);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Starptautiskās kultūras pieminekļu un ievērojamu vietu padomes izstrādātos kvalitātes principus Eiropas Savienības finansētiem pārveidojumiem, kas var ietekmēt kultūras mantojumu (pieejams: EUQS_revision2020_LV.pdf (icomos.lv)).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ir ņemtas vērā ar komercdarbības atbalstu saņemšanu saistītās normas. Noteikumu projekta ietvaros ir pieļaujams saderīgs komercdarbības atbalsts saskaņā ar Regulas Nr. 651/2014 53. pantu. Komercdarbības atbalsts tiek piešķirts Regulas Nr. 651/2014 53. panta 2. punktā minētajiem kultūras mērķiem un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 Regulas Nr. 651/2014 4. panta 1. punkta z) apakšpunktam, un netiks pārsniegtas paziņošanas robežvērtība. Specifiskā atbalsta ietvaros plānots ieguldījumu un darbības atbalsts, kas atbilst Regulas Nr. 651/2014 53.panta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2016. gada 19. jūlija Eiropas Komisijas paziņojumā par Līguma par Eiropas Savienības darbību 107. panta 1. punktā minēto valsts atbalsta jēdzienu (2016/c 262/01) (turpmāk – Paziņojums par valsts atbalsta jēdzienu) 33. un 34. punktā noteikto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un dabas aizsardzību saistītas darbības, ņemot vērā to īpašo raksturu, var būt organizētas nekomerciāli un tādējādi būt tādas, kurām nav saimnieciska rakstura, tādējādi publiskais finansējums, kas tām piešķirts, var nebūt valsts atbalsts. Eiropas Komisija uzskata, ka publiskā finansējuma piešķiršana kultūras vai kultūrvēsturiskā mantojuma saglabāšanas pasākumam, kas visai sabiedrībai pieejams bez maksas, kalpo tīri sociālam un kultūras mērķim, kam nav saimnieciska rakstura. Tāpat arī tad, ja no kultūras iestādes apmeklētājiem vai sabiedrībai pieejama kultūras, kultūrvēsturiskā mantojuma saglabāšanas vai dabas aizsardzības pasākuma dalībniekiem tiek prasīta samaksa, kas sedz tikai daļu no faktiskajām izmaksām, šim pasākumam tik un tā nav saimnieciska rakstura, jo šādu samaksu nevar uzskatīt par reālu atlīdzību par sniegto pakalpojumu. Turklāt Paziņojumā par valsts atbalsta jēdzienu 36.punktā ir noteikts, ka daudzi kultūras vai kultūrvēsturiskā mantojuma saglabāšanas pasākumi objektīvi ir neaizstājami (piemēram, valsts arhīvu, kuros atrodas unikāli dokumenti, pārvaldība), un tādējādi tiem nav reāla tirgus. Eiropas Komisija uzskata, ka arī šie pasākumi kvalificētos kā tādi, kam nav saimnieciska rakstura. Vienlaikus Eiropas Komisija ir secinājusi – kultūras vai kultūrvēsturiskā mantojuma saglabāšanas pasākumiem, kuriem nav saimnieciska rakstura, nav jāveic novērtējums par to, vai iespējamais publiskais finansējums varētu ietekmēt tirdzniecību, savukārt kultūras pasākumi un subjekti, kuri veic saimniecisku darbību, diez vai pārvilinātu lietotājus vai apmeklētājus, kuri izmanto līdzīgu piedāvājumu citās dalībvalstīs. Eiropas Komisija uzskata, ka potenciāls ietekmēt tirdzniecību starp dalībvalstīm piemīt tikai finansējumam, kuru piešķir lielām un plaši pazīstamām kādas dalībvalsts kultūras iestādēm un pasākumiem, ko plaši reklamē ārpus to vietējā reģiona.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kad netiek piemēroti Regulas Nr. 651/2014 53. panta nosacījumi jeb sniegtais atbalsts nav uzskatāms par komercdarbības atbalstu,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projektam nav saimnieciska rakstura, ja pašu ieņēmumi atbalstītajā objektā ir 50 procenti vai mazāki par 50 procentiem no kultūras jomas pakalpojumu sniedzēja gada budžeta atbalstītajā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pašu ieņēmumi ir lielāki par 50 procentiem no gada budžeta, tad projektam ir saimniecisks raksturs, tomēr tas nav kvalificējams kā atbalsts komercdarbībai, ja projektam nav ietekmes uz konkurenci un tirdzniecību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norādījusi, ka pastāv virkne pasākumu, kuriem ir vienīgi vietēja mēroga ietekme, un tādējādi tas neietekmē tirdzniecību starp dalībvalstīm. Minētajos gadījumos Eiropas Komisija ir norādījusi, ka saņēmējs attiecīgas preces vai pakalpojumus piedāvā ierobežotā dalībvalsts teritorijā, un diez vai piesaistītu citu dalībvalstu klientus, tāpēc nav uzskatāms, ka pasākums izraisītu būtisku ietekmi uz pārrobežu ieguldījumu vai uzņēmējdarbības apstākļiem. Arī publiskais atbalsts, kas sniegts kultūras produktiem, kuriem valodas un ģeogrāfisku iemeslu dēļ ir ierobežota, vietēja rakstura auditorija, nevar ietekmēt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to, ka projektam, kuram ir saimniecisks raksturs, nav ietekmes uz konkurenci un tirdzniecību Eiropas Savienības iekšējā tirgū, papildus tiek piemērots kāds no šādiem izvērtēšanas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85 procenti un vairāk no visiem kultūras jomā sniegto pakalpojumu saņēmējiem/apmeklētājiem atbalstītajā objektā gadā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īstenotie kultūras pasākumi (koncerti, izrādes, performances u.c.) pārsvarā notiek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objekts netiek plaši reklamēts ārpus Latvijas teritorijas (netiek veiktas starptautiskas mārketinga aktivitātes u.c. darbības pārrobežu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kultūras jomas pakalpojuma sniedzēju uzskatāms tāds pakalpojuma sniedzējs, kas darbojas kultūras un kultūrvēsturiskā mantojuma saglabāšanas jomā, atbilstoši Paziņojumā par valsts atbalsta jēdzienu[1] 33. un 34.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ja projekta iesniedzējs pretendē uz komercdarbības atbalstu saskaņā ar Regulas Nr. 651/2014 53. pantu,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pieļaujams veikt papildpakalpojumus, kuriem nebūtu ietekmes uz tirdzniecību un konkurenci Eiropas Savienības iekšējā tirgū. Paziņojumā par valsts atbalsta jēdzienu) ir norādīts, ka publiskais finansējums parastajiem papildpakalpojumiem (piemēram, restorāniem, veikaliem vai maksas stāvvietām), infrastruktūrās, kuras izmanto galvenokārt tikai nesaimnieciskajai darbībai, parasti neietekmē tirdzniecību starp dalībvalstīm, jo šie parastie papildpakalpojumi diez vai piesaistītu citu dalībvalstu klientus un to finansēšana diez vai izraisītu būtisku ietekmi uz pārrobežu ieguldījumiem vai uzņēmējdarbību. Tāpat arī atbilstoši Komisijas skaidrojumam kafejnīcas, suvenīru veikali, kā arī stāvvietas, kuras nepieciešamas kultūras objekta apmeklētājiem, tiek ieskaitītas kultūras infrastruktūras un kultūras pakalpojumu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atbalsta kumulācijas gadījumā finansējuma saņēmējs sadarbības iestādei sniedz informāciju, vai par tām pašām attiecināmajām izmaksām ir plānots vai jau piešķirts atbalsts, norādot atbalsta piešķiršanas datumu, atbalsta sniedzēja nosaukumu, atbalsta pasākumu, plānoto vai piešķirto atbalsta summu un atbalsta intensitāti, lai varētu izvērtēt, vai netiek pārsniegtas atbalsta apvienošanas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saņēmējs ar komercdarbības atbalstu saistīta projekta dokumentāciju glabā visu projekta pārskata periodu (projekta dzīves ciklu), sākot no dienas, kad tam ir piešķirts individuālais komercdarbības atbalsts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komercdarbības atbalstu sniedz saskaņā ar Regulas Nr. 651/2014 53. pantu un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sadarbības iestādei atmaksā starpību starp faktisko un plānoto peļņu no pamatdarbības;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Komercdarbības atbalsta kontroles likumam, atbalsta sniedzējam noteikts pienākums atgūt nelikumīgo komercdarbības atbalstu gadījumos, kad Eiropas Komisija nav pieņēmusi lēmumu par nelikumīga un nesaderīga ar Eiropas Savienības iekšējo tirgu atbalsta atgūšanu, kā arī to, ka nelikumīgs valsts atbalsts ir atgūstams, kad citas institūcijas konstatē nelikumīga atbalsta piešķiršanas gadījumus (tai skaitā,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ir pārkāptas Regulas Nr. 651/2014 prasības, vai ir konstatēts, ka ar saimniecisku raksturu nesaistīts projekts kļūst par projektu, kura ietvaros tiek sniegts komercdarbības atbalsts,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atbalsta principiem ar jēdzienu “līdzekļiem, kas ir brīvi no valsts atbalsta” Projekta kontekstā saprotam tādu finansiālu ieguldījumu no projekta iesniedzēja vai sadarbības partnera līdzekļiem – saimnieciskajiem resursiem vai ārējiem finanšu resursiem, kas nesatur nekādu publisko finansiālo atbalstu. Līdzekļi, kas ir brīvi no valsts atbalsta (tai skaitā nav saņemts valsts vai pašvaldību galvojums, vai valsts vai pašvaldības aizdevums uz atvieglotiem nosacījumiem) ir iegūti saimnieciskās darbības rezultātā vai piesaistīti kā aizņēmums (ārējais finansējums) uz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iesniegumā sniegtais atbalsts ir uzskatāms par komercdarbības atbalstu, atbilstoši Projektam finansējuma saņēmējs un sadarbības partneris projekta iesniegumam pievienojis apliecinājumu, kas apliecina atbilstību Komisijas regulas Nr. 651/2014 2. panta 18. punkta c) apakšpunkta nosacījumiem, šo nosacījumu vērtējot uzņēmuma grupas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finansējuma saņēmējs nodrošina specifiskā atbalsta ietvaros plānotā atbalsta nepārklāšanos ar citiem valsts un ārvalstu finanšu atbalsta instrumentiem, kā arī nodrošina dubultā finansējuma neiestāšanos.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nodrošina interešu konflikta neesību saskaņā ar Eiropas Parlamenta un Padomes 2024. gada 23. septembra Regulas (ES, Euratom) 2024/2509 par finanšu noteikumiem, ko piemēro Savienības vispārējam budžetam (pārstrādāta redakcija), 61. panta prasībām, kā arī ar parakstu apliecina, ka nepastāv interešu konflikts.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nosaka, ka finansējuma saņēmējs nodrošina projekta īstenošanas komunikācijas un vizuālās identitātes prasības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https://eur-lex.europa.eu/legal-content/LV/TXT/?uri=uriserv:OJ.C_.2016.262.01.0001.01.LAV&amp;toc=OJ:C:2016:262:TOC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tiks veidots uz sociālo iekļaušanu orientēts un mērķauditorijas vajadzībām balstīts kultūras piedāvājums, radot pozitīvu ietekmi uz vietējām kopienām, un veicinot dialoga ar mazākaizsargāto sabiedrības daļu, lai ar kultūras pieredzes un pakalpojumu starpniecību mazinātu sociālo nevienlīdzību un stiprinātu kopienas kultūra identitāti.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Potenciālie projektu iesniedzēji un iespējamie sadarbības partneri, tas ir, biedrības, nodibinājumi un citas juridiskas personas, kuras pamatdarbība ir kultūras vai radošajā nozarē, valsts iestādes, pašvaldības, pašvaldības iestādes vai pašvaldības kapitālsabiedrības. Kultūras ministrija kā par specifisko atbalstu atbildīgā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nodibinājums, juridiska persona, kuras pamatdarbība ir kultūras vai radošajā nozarē, valsts iestāde, pašvaldība, pašvaldības iestāde vai valsts un pašvaldības kapitālsabiedrība pildīs finansējuma saņēmēja funkcijas, un Kultūras ministrija pildīs atbildīgās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Projekta īstenošanas ietekmi uz administratīvajām procedūrām, ir identificējams administratīvā sloga palielinājums potenciālajiem finansējuma saņēmējiem un Eiropas Savienības fondu vadībā iesaistītajām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tiks sniegts ieguldījums NAP2027 prioritātes “Kultūra un sports aktīvai un pilnvērtīgai dzīvei” rīcības virziena “Cilvēku līdzdalība kultūras un sporta aktivitātēs” 364. progresa rādītāja “Mājsaimniecību izdevumi kultūrai un atpūtai no mājsaimniecību kopējiem patēriņa izdevumiem” sasniegšanā (pieejams: https://likumi.lv/ta/id/315879-par-latvijas-nacionalo-attistibas-planu-20212027-gadam-nap2027).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1 268 370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2 536 757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2 536 757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1 268 370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2 536 757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2 536 757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1 492 200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2 984 420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2 984 420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1 298 370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2 596 757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2 596 757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387 663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387 663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-223 830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-447 663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-447 663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-387 663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-387 663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-223 830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-447 663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-447 663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-193 830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-387 663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-387 663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Specifiskā atbalsta ietvaros plānotais kopējais finansējums ar elastības finansējumu ir 20 166 038 </w:t>
            </w:r>
            <w:r w:rsidR="00000000" w:rsidRPr="00000000" w:rsidDel="00000000">
              <w:rPr>
                <w:sz w:val="24"/>
                <w:i w:val="1"/>
                <w:rtl w:val="0"/>
              </w:rPr>
              <w:t xml:space="preserve">euro</w:t>
            </w:r>
            <w:r w:rsidR="00000000" w:rsidRPr="00000000" w:rsidDel="00000000">
              <w:rPr>
                <w:sz w:val="24"/>
                <w:rtl w:val="0"/>
              </w:rPr>
              <w:t xml:space="preserve">, tai skaitā ERAF finansējums – 17 141 132 </w:t>
            </w:r>
            <w:r w:rsidR="00000000" w:rsidRPr="00000000" w:rsidDel="00000000">
              <w:rPr>
                <w:sz w:val="24"/>
                <w:i w:val="1"/>
                <w:rtl w:val="0"/>
              </w:rPr>
              <w:t xml:space="preserve">euro </w:t>
            </w:r>
            <w:r w:rsidR="00000000" w:rsidRPr="00000000" w:rsidDel="00000000">
              <w:rPr>
                <w:sz w:val="24"/>
                <w:rtl w:val="0"/>
              </w:rPr>
              <w:t xml:space="preserve">un nacionālais finansējums – 3 024 906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to, ka specifiskā atbalsta ietvaros ir plānota atklāta projektu iesniegumu atlase, nacionālā finansējuma sadalījums starp valsts budžeta līdzfinansējumu, pašvaldību līdzfinansējumu un privāto līdzfinansējumu ir indikatīvs.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Specifiskajam atbalstam pieejamais kopējais finansējums līdz 2025. gada 31. decembrim, lai slēgtu līgumu vai vienošanos par projektu īstenošanu, ir 14 922 139 </w:t>
            </w:r>
            <w:r w:rsidR="00000000" w:rsidRPr="00000000" w:rsidDel="00000000">
              <w:rPr>
                <w:sz w:val="24"/>
                <w:i w:val="1"/>
                <w:rtl w:val="0"/>
              </w:rPr>
              <w:t xml:space="preserve">euro</w:t>
            </w:r>
            <w:r w:rsidR="00000000" w:rsidRPr="00000000" w:rsidDel="00000000">
              <w:rPr>
                <w:sz w:val="24"/>
                <w:rtl w:val="0"/>
              </w:rPr>
              <w:t xml:space="preserve">, tai skaitā ERAF finansējums granta veidā 12 683 818 </w:t>
            </w:r>
            <w:r w:rsidR="00000000" w:rsidRPr="00000000" w:rsidDel="00000000">
              <w:rPr>
                <w:sz w:val="24"/>
                <w:i w:val="1"/>
                <w:rtl w:val="0"/>
              </w:rPr>
              <w:t xml:space="preserve">euro </w:t>
            </w:r>
            <w:r w:rsidR="00000000" w:rsidRPr="00000000" w:rsidDel="00000000">
              <w:rPr>
                <w:sz w:val="24"/>
                <w:rtl w:val="0"/>
              </w:rPr>
              <w:t xml:space="preserve">un nacionālais finansējums (valsts budžeta līdzfinansējums 300 000 </w:t>
            </w:r>
            <w:r w:rsidR="00000000" w:rsidRPr="00000000" w:rsidDel="00000000">
              <w:rPr>
                <w:sz w:val="24"/>
                <w:i w:val="1"/>
                <w:rtl w:val="0"/>
              </w:rPr>
              <w:t xml:space="preserve">euro</w:t>
            </w:r>
            <w:r w:rsidR="00000000" w:rsidRPr="00000000" w:rsidDel="00000000">
              <w:rPr>
                <w:sz w:val="24"/>
                <w:rtl w:val="0"/>
              </w:rPr>
              <w:t xml:space="preserve"> un pašvaldību līdzfinansējums  1 938 321 </w:t>
            </w:r>
            <w:r w:rsidR="00000000" w:rsidRPr="00000000" w:rsidDel="00000000">
              <w:rPr>
                <w:sz w:val="24"/>
                <w:i w:val="1"/>
                <w:rtl w:val="0"/>
              </w:rPr>
              <w:t xml:space="preserve">euro</w:t>
            </w:r>
            <w:r w:rsidR="00000000" w:rsidRPr="00000000" w:rsidDel="00000000">
              <w:rPr>
                <w:sz w:val="24"/>
                <w:rtl w:val="0"/>
              </w:rPr>
              <w:t xml:space="preserve">) 2 238 321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līdzfinansējums tiek piešķirts valsts budžeta iestādēm vai atvasinātām publiskām personām 2018. gada 17. jūlija Ministru kabineta noteikumos Nr. 421 “Kārtība, kādā veic gadskārtējā valsts budžeta likumā noteiktās apropriācijas izmaiņas” noteiktajos gadījumos, savukārt pārējiem finansējuma saņēmējiem līdzfinansējums projektu īstenošanai ir nodrošināms to esošo budžetu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85 procentu apmērā no projektu attiecināmajām izmaksām un nacionālā finansējuma daļa 15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Kultūras ministrijas plānotās attiecīgās izdevumu proporcijas dalījumā pa gadiem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1 492 200 </w:t>
            </w:r>
            <w:r w:rsidR="00000000" w:rsidRPr="00000000" w:rsidDel="00000000">
              <w:rPr>
                <w:sz w:val="24"/>
                <w:i w:val="1"/>
                <w:rtl w:val="0"/>
              </w:rPr>
              <w:t xml:space="preserve">euro</w:t>
            </w:r>
            <w:r w:rsidR="00000000" w:rsidRPr="00000000" w:rsidDel="00000000">
              <w:rPr>
                <w:sz w:val="24"/>
                <w:rtl w:val="0"/>
              </w:rPr>
              <w:t xml:space="preserve">; (ERAF  1 268 370 </w:t>
            </w:r>
            <w:r w:rsidR="00000000" w:rsidRPr="00000000" w:rsidDel="00000000">
              <w:rPr>
                <w:sz w:val="24"/>
                <w:i w:val="1"/>
                <w:rtl w:val="0"/>
              </w:rPr>
              <w:t xml:space="preserve">euro</w:t>
            </w:r>
            <w:r w:rsidR="00000000" w:rsidRPr="00000000" w:rsidDel="00000000">
              <w:rPr>
                <w:sz w:val="24"/>
                <w:rtl w:val="0"/>
              </w:rPr>
              <w:t xml:space="preserve">; nacionālais finansējums 223 830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2 984 420 </w:t>
            </w:r>
            <w:r w:rsidR="00000000" w:rsidRPr="00000000" w:rsidDel="00000000">
              <w:rPr>
                <w:sz w:val="24"/>
                <w:i w:val="1"/>
                <w:rtl w:val="0"/>
              </w:rPr>
              <w:t xml:space="preserve">euro</w:t>
            </w:r>
            <w:r w:rsidR="00000000" w:rsidRPr="00000000" w:rsidDel="00000000">
              <w:rPr>
                <w:sz w:val="24"/>
                <w:rtl w:val="0"/>
              </w:rPr>
              <w:t xml:space="preserve">; (ERAF 2 536 757 </w:t>
            </w:r>
            <w:r w:rsidR="00000000" w:rsidRPr="00000000" w:rsidDel="00000000">
              <w:rPr>
                <w:sz w:val="24"/>
                <w:i w:val="1"/>
                <w:rtl w:val="0"/>
              </w:rPr>
              <w:t xml:space="preserve">euro</w:t>
            </w:r>
            <w:r w:rsidR="00000000" w:rsidRPr="00000000" w:rsidDel="00000000">
              <w:rPr>
                <w:sz w:val="24"/>
                <w:rtl w:val="0"/>
              </w:rPr>
              <w:t xml:space="preserve">; nacionālais finansējums 447 663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2 984 420 </w:t>
            </w:r>
            <w:r w:rsidR="00000000" w:rsidRPr="00000000" w:rsidDel="00000000">
              <w:rPr>
                <w:sz w:val="24"/>
                <w:i w:val="1"/>
                <w:rtl w:val="0"/>
              </w:rPr>
              <w:t xml:space="preserve">euro</w:t>
            </w:r>
            <w:r w:rsidR="00000000" w:rsidRPr="00000000" w:rsidDel="00000000">
              <w:rPr>
                <w:sz w:val="24"/>
                <w:rtl w:val="0"/>
              </w:rPr>
              <w:t xml:space="preserve">; (ERAF 2 536 757 </w:t>
            </w:r>
            <w:r w:rsidR="00000000" w:rsidRPr="00000000" w:rsidDel="00000000">
              <w:rPr>
                <w:sz w:val="24"/>
                <w:i w:val="1"/>
                <w:rtl w:val="0"/>
              </w:rPr>
              <w:t xml:space="preserve">euro</w:t>
            </w:r>
            <w:r w:rsidR="00000000" w:rsidRPr="00000000" w:rsidDel="00000000">
              <w:rPr>
                <w:sz w:val="24"/>
                <w:rtl w:val="0"/>
              </w:rPr>
              <w:t xml:space="preserve">; nacionālais finansējums 447 663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4 476 670 </w:t>
            </w:r>
            <w:r w:rsidR="00000000" w:rsidRPr="00000000" w:rsidDel="00000000">
              <w:rPr>
                <w:sz w:val="24"/>
                <w:i w:val="1"/>
                <w:rtl w:val="0"/>
              </w:rPr>
              <w:t xml:space="preserve">euro</w:t>
            </w:r>
            <w:r w:rsidR="00000000" w:rsidRPr="00000000" w:rsidDel="00000000">
              <w:rPr>
                <w:sz w:val="24"/>
                <w:rtl w:val="0"/>
              </w:rPr>
              <w:t xml:space="preserve">; (ERAF 3 805 170 </w:t>
            </w:r>
            <w:r w:rsidR="00000000" w:rsidRPr="00000000" w:rsidDel="00000000">
              <w:rPr>
                <w:sz w:val="24"/>
                <w:i w:val="1"/>
                <w:rtl w:val="0"/>
              </w:rPr>
              <w:t xml:space="preserve">euro</w:t>
            </w:r>
            <w:r w:rsidR="00000000" w:rsidRPr="00000000" w:rsidDel="00000000">
              <w:rPr>
                <w:sz w:val="24"/>
                <w:rtl w:val="0"/>
              </w:rPr>
              <w:t xml:space="preserve">; nacionālais finansējums 671 500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2 984 429 </w:t>
            </w:r>
            <w:r w:rsidR="00000000" w:rsidRPr="00000000" w:rsidDel="00000000">
              <w:rPr>
                <w:sz w:val="24"/>
                <w:i w:val="1"/>
                <w:rtl w:val="0"/>
              </w:rPr>
              <w:t xml:space="preserve">euro </w:t>
            </w:r>
            <w:r w:rsidR="00000000" w:rsidRPr="00000000" w:rsidDel="00000000">
              <w:rPr>
                <w:sz w:val="24"/>
                <w:rtl w:val="0"/>
              </w:rPr>
              <w:t xml:space="preserve">(bez elastības finansējuma: 5 243 899 </w:t>
            </w:r>
            <w:r w:rsidR="00000000" w:rsidRPr="00000000" w:rsidDel="00000000">
              <w:rPr>
                <w:sz w:val="24"/>
                <w:i w:val="1"/>
                <w:rtl w:val="0"/>
              </w:rPr>
              <w:t xml:space="preserve">euro</w:t>
            </w:r>
            <w:r w:rsidR="00000000" w:rsidRPr="00000000" w:rsidDel="00000000">
              <w:rPr>
                <w:sz w:val="24"/>
                <w:rtl w:val="0"/>
              </w:rPr>
              <w:t xml:space="preserve">) (ERAF 2 536 764 </w:t>
            </w:r>
            <w:r w:rsidR="00000000" w:rsidRPr="00000000" w:rsidDel="00000000">
              <w:rPr>
                <w:sz w:val="24"/>
                <w:i w:val="1"/>
                <w:rtl w:val="0"/>
              </w:rPr>
              <w:t xml:space="preserve">euro</w:t>
            </w:r>
            <w:r w:rsidR="00000000" w:rsidRPr="00000000" w:rsidDel="00000000">
              <w:rPr>
                <w:sz w:val="24"/>
                <w:rtl w:val="0"/>
              </w:rPr>
              <w:t xml:space="preserve">; nacionālais finansējums 447 665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plānots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Regulas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32.2. apakšpunkts un 37.10.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6. punkts un 2. panta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 apakšpunkts, 44., 54., 55. un 57.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3. punkta a) un b) apakšpunkts un 4.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29. un 30. punkts, 53. panta 4. punkts, 53.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2. punkta a), b), c), d) vai e) apakšpunkts, 2. punkta c) un d) apakšpunkts un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2.punkta a), b), c), d) un e) apakšpunkts un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4. punkts un 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punkta c) apakšpunkts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Atbildīgā iestāde atbilstoši Regulas Nr. 651/2014 11. panta a) apakšpunktā noteiktajam 20 darba dienu laikā pēc Projekta spēkā stāšanās nosūtīs Eiropas Komisijai kopsavilkuma informāciju par valsts atbalsta programmu,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Regulas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https://vktap.mk.gov.lv/public_participations/public_discussions/30090fe7-7cd5-40c4-a8be-34d828d686a0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pievienots sabiedrības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publiskajai apspriešanai, kas tika īstenota vienotajā tiesību aktu projektu izstrādes un saskaņošanas portālā, Kultūras ministrijai priekšlikumus Projekta precizēšanai iesūtīja biedrība “Ascendum” un biedrība “Latvijas Laikmetīgās mākslas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13. jūlijā organizēta diskusija par iecerēm nākotnes kultūras piedāvājuma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 martā rīkota arī konference “Informācijas piekļūstamība un vides pieejamība Kultūras ministrijas Eiropas Savienības (ES) fondu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24. maijā organizēta diskusija par 4.3.2. specifiskā atbalsta mērķa “Kultūras un tūrisma lomas palielināšana ekonomiskajā attīstībā, sociālajā iekļaušanā un sociālajās inovācijās” īstenošanas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prioritātes “Kultūra un sports aktīvai un pilnvērtīgai dzīvei” rīcības virziena “Cilvēku līdzdalība kultūras un sporta aktivitātēs” 364. progresa rādītājs “Mājsaimniecību izdevumi kultūrai un atpūtai no mājsaimniecību kopējiem patēriņa izdevumiem” (pieejams: https://likumi.lv/ta/id/315879-par-latvijas-nacionalo-attistibas-planu-20212027-gadam-nap2027).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tiek piemērota teritoriālā pieeja, paredzot, ka katrā plānošanas reģionā tiek atbalstīts vismaz viens projekta iesniegums, kas atbilst specifiskā atbalsta īstenošanas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kvalitātes kritēriju par horizontālā principa “Vienlīdzība, iekļaušana, nediskriminācija un pamattiesību ievērošana” ievērošanu, kura ietvaros tiek vērtēts, vai projekta iesniegumā tiek paredzētas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projektos ir jāparedz horizontālā principa darbības, kas īpaši veicina vides un informācijas piekļūstamību personām ar kustību, redzes, dzirdes vai garīga rakstura traucējumiem, vecāka gadagājuma cilvēkiem un vecākiem ar maziem bērniem,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būvnormatīvā LBN 200-21 noteiktajam, projekta ietvaros tiks īstenotas labās prakses darbības, kas īpaši veicina vides - piekļūstamību cilvēkiem ar funkcionāliem traucējumiem (LM vadlīnijas “Labās prakses ieteikumi vides piekļūstamības nodrošināšanai papildus LBN 200-21 noteiktajam”. Pieejams šeit: https://www.lm.gov.lv/lv/ieteikumi-ieklaujosas-vides-veidosanai;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vajadzībām ne vien uz fizisku piekļūšanu būvei, bet arī uz specifiskām vajadzībām attiecībā uz būves noformējumu, lietojamību un funkciju;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konkrētajai videi/objektam/pasākuma norises vietai ir iespēja fiziski piekļūt un to izmantot cilvēkiem ar dažādiem funkcionāliem traucējumiem gan kā pasākuma skatītājiem, gan kā dalībniekiem u.c. darbības.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kvalitātes kritēriju par horizontālā principa “Vienlīdzība, iekļaušana, nediskriminācija un pamattiesību ievērošana” ievērošanu, kura ietvaros tiek vērtēts, vai projekta iesniegumā tiek iekļautas vispārīgas un specifiskas HP VINPI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pārvietošanos uz ielas - ietves tiks veidotas ar lēzenu nobraukumu/uzbraukumu, izvairoties no kāpnēm. Svarīga ir arī soliņu izbūve pie ietvēm, kas ir būtiska visiem cilvēkiem, tai skaitā vecākai paaudzei un  vecākiem ar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ielu infrastruktūru ir būtisks apgaismojums - lai būtu droši pārvietoties gan no ērtības un drošības kopumā, gan specifiski sievietēm, jo mazina riskus vardarbībai pret sievietēm, aizskaršanai/apdraudējumam.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ir noteikta netieša ietekme uz horizontālo principu “Vienlīdzība, iekļaušana, nediskriminācija un pamattiesību ievērošana” rādītājiem, ievērojot, ka projekta ietvaros tik uzkrāti dati par projekta ietekmi uz rādītāja – objektu skaits, kuros ERAF/KF ieguldījumu rezultātā ir nodrošināta vides un informācijas pieejamība –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Specifiskajam atbalstam ir nebūtiska ietekme uz horizontālo principu “Klimatdrošināšana”, “Energoefektivitāte pirmajā vietā” un “Nenodarīt būtisku kaitējumu” īstenošanu, un Kultūras ministrija nav plānojusi noteikt šai kārtai papildus nosacījumus, kas pārsniedz Latvijas nacionālajā horizontālajā regulējumā jau noteikto prasību ievērošanu, piemēram, prasība Zaļajam publiskajam iepirkumam (Ministru kabineta 2017. gada 20. jūnija noteikumi Nr. 353 “Prasības zaļajam publiskajam iepirkumam un to piemērošanas kārtība”), pienākums valsts iestādei, pašvaldībai un citai atvasinātai publiskai personai ziņot par iegūto enerģijas ietaupījumu pēc energopārvaldības sistēmas ieviešanas (Energoefektivitātes likums), prasības attiecībā uz ēku energoefektivitāti (Ministru kabineta 2021. gada 8. aprīļa noteikumi Nr. 222 “Ēku energoefektivitātes aprēķina metodes un ēku energosertifikācijas noteikumi”)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paredzētās darbības var sniegt ieguldījumu Eiropas Savienības stratēģijas Baltijas jūras reģiona (ESSBJR) politikas virziena “Kultūra”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Investīcijām piemērojams Makroreģionālā un jūras baseinu stratēģijas kods 03 - Baltijas jūras reģiona stratēģija.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24-TA-1502</w:t>
    </w:r>
    <w:r>
      <w:br/>
    </w:r>
    <w:r w:rsidR="00000000" w:rsidRPr="00000000" w:rsidDel="00000000">
      <w:rPr>
        <w:rtl w:val="0"/>
      </w:rPr>
      <w:t xml:space="preserve">Izdrukāts 29.07.2026. 23.40 - 6.0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24-TA-1502</w:t>
    </w:r>
    <w:r>
      <w:br/>
    </w:r>
    <w:r w:rsidR="00000000" w:rsidRPr="00000000" w:rsidDel="00000000">
      <w:rPr>
        <w:rtl w:val="0"/>
      </w:rPr>
      <w:t xml:space="preserve">Izdrukāts 29.07.2026. 23.40 - 6.0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anotācija_(ex_ante)_24-TA-1502.docx</dc:title>
</cp:coreProperties>
</file>

<file path=docProps/custom.xml><?xml version="1.0" encoding="utf-8"?>
<Properties xmlns="http://schemas.openxmlformats.org/officeDocument/2006/custom-properties" xmlns:vt="http://schemas.openxmlformats.org/officeDocument/2006/docPropsVTypes"/>
</file>