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2.3.1. specifiskā atbalsta mērķa "Veicināt ilgtspējīgu daudzveidu mobilitāti pilsētās" 2.3.1.2. pasākuma "Multimodāls sabiedriskā transporta tīkls"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2.3.1. specifiskā atbalsta mērķa "Veicināt ilgtspējīgu daudzveidu mobilitāti pilsētās" 2.3.1.2. pasākuma "Multimodāls sabiedriskā transporta tīkls" īstenošanas noteikumi” (turpmāk – noteikumu projekts) izstrādāts, pamatojoties uz Eiropas Savienības (turpmāk – ES)  fondu 2021.-2027.gada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ES kohēzijas politikas programmas 2021-2027.gadam 2.3.1. specifiskā atbalsta mērķa “Veicināt ilgtspējīgu daudzveidu mobilitāti pilsētās” 2.3.1.2. pasākuma “Multimodāls sabiedriskā transporta tīkls” (turpmāk – pasākums) īstenošanas nosacījumus un nodrošinātu pasākuma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atbalsts tiks sniegts dotāciju veidā publiskās infrastruktūras attīstībai Latvijas Republikas teritorijā, ar mērķi veicināt multimodāla sabiedriskā transporta tīkla attīstību ar dzelzceļu kā sabiedriskā transporta sistēmas “mugurkaulu”, izveidojot sabiedriskā transporta savienojumu punktus, vienlaikus veicinot mikromobilitātes (velosipēdi, tai skaitā skrejriteņi, līdzsvara un balansa riteņi u.c.), kā arī nodrošinot stāvvietu (turpmāk - Park&amp;Ride) infrastruktūras, parastās jaudas elektrouzlādes infrastruktūras un piemērotās maksas infrastruktūras attīstību, tostarp lietojot viedus, digitālus un videi draudzīgus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multimodāla sabiedriskā transporta tīkla attīstību ar dzelzceļu kā sabiedriskā transporta sistēmas mugurkaulu, izveidojot sabiedriskā transporta savienojumu punktus, vienlaikus kopējā mobilitātē veicinot mikromobilitāti.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līdz 2029. gada 31. decembrim, sasniedzot šādus nacionālos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30. jūnijam ir īstenoti vismaz 5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 31. decembrim ir īstenoti vismaz 25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nacionālo rādītāju izpildes uzraudzību atbildīga ir Satiksmes ministrija (turpmāk – atbildīgā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25.novembrī Eiropas Komisija apstiprināja programmu “Eiropas Savienības kohēzijas politikas programma 2021.–2027. gadam” (turpmāk – programma). Programmas 2.3. prioritātes “Ilgtspējīga mobilitāte” 2.3.1. specifiskā atbalsta mērķa “Veicināt ilgtspējīgu daudzveidu mobilitāti pilsētās” 2.3.1.2. pasākuma “Multimodāls sabiedriskā transporta tīkls” ietvaros paredzēta multimodāla sabiedriskā transporta tīkla attīstība ar dzelzceļu kā sabiedriskā transporta sistēmas “mugurkaulu”, izbūvējot sabiedriskā transporta savienojumu punktus pie dzelzceļa stacijām, tādējādi veicinot iedzīvotāju pārvietošanos paradumu maiņu, prioritāti izvēloties sabiedrisko transportu privātā autotransporta vietā.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veicināt pārvietošanās paradumu maiņu iedzīvotāju vidū, veidojot konkurētspējīgu sabiedriskā transporta piedāvājumu attiecībā pret privāto transportu, tostarp sasaistē ar mikromobilitāti, tādējādi sekmējot transporta negatīvās ietekmes uz vidi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paredzēts arī īstenot atbildīgās iestādes pārziņā esošo, 3.1.prioritātes "Ilgtspējīga TEN-T infrastruktūra” 3.1.1.specifiskā atbalsta mērķa “Attīstīt ilgtspējīgu, pret klimatu izturīgu, inteliģentu, drošu un vairākveidu TEN-T infrastruktūru” 3.1.1.1.pasākumu “Dzelzceļa transporta attīstība un energoefektivitātes uzlabošana sabiedriskajos pasažieru pārvadājumos” un 3.1.1.3.pasākumu “Eiropas transporta tīklā esošās dzelzceļa infrastruktūras attīstība”, kas ir ciešā sasaistē ar pasākumu (2.3.1.2.), ar mērķi līdz 2029.gada 31.decembrim izbūvēt paaugstinātās pasažieru platformas un uzstādīt nepieciešamo aprīkojumu (nojumes, soliņi, atkritumu urnas, apgaismojums), izbūvēt vai modernizēt elektroapgādes, komunikāciju, signalizācijas sistēmas, ierīkot videonovērošanas sistēmu, ierīkot pasažieru apziņošanas sistēmas, uzstādīt digitālos informācijas displejus, uzstādīt velo novietnes un veikt teritorijas  labiekārtošanu.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2024.gada 19.janvārī stājās spēkā Ministru kabineta noteikumi Nr.51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 kur mērķis ir līdz 2026.gada 31.maijam izbūvēt astoņus mobilitātes punktus Rīgas valstspilsētā un Pierīgā, izbūvēt no autosatiksmes atdalītu neatkarīgu sabiedriska transporta līniju ar saistīto velosipēdu un gājēju infrastruktūru, un izbūvēs ar mobilitātes punkta “’Šķirotava” saistītās tramvaja un trolejbusu līnijas pagarinājumu.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Sasaiste ar mobilitātes un ilgtspējīga transporta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 klimatneitralitātes mērķa sasniegšanu 2050.gadā Transporta attīstības pamatnostādnēs 2021.-2027.gadam norādīts, ka šo mērķu sasniegšanai būtu jāvirzās ar tādām iniciatīvām kā mobilitātes punktu attīstība, veicinot sabiedriskā transporta lietotāju, kā arī mikromobilitātes rīku izmantotāju un gājēju skaita palielināšanu, vienlaikus uzlabojot attiecīgo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pasākumi tiešā veidā atbilst Transporta attīstības pamatnostādņu 2021.-2027.gadam uzstādījumiem un īstenošanas plānā definētajam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mobilitātes punktus’ (1.3.1.), kas atbilst pamatnostādņu uzdevumam ‘Attīstīt sabiedriskā transporta pakalpojumus un nodrošināt nozares atvērto datu pieejamību’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tiešā veidā palīdz sasniegt Transporta attīstības pamatnostādnēs 2021.-2027. gadam noteikto politikas rezultātu rezultatīvo rādītāju, t.i., samazināt kopējo siltumnīcefekta gāzu (turpmāk – SEG) emisiju daudzumu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Sasaiste ar reģionālās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ir plānotas saskaņā ar Reģionālās politikas pamatnostādnēs 2021.-2027.gadam ietvertajiem uzdevumiem B.2.1. “Sasniedzamība starp reģioniem” un B.2.5. “Pašvaldību ceļu un ielu infrastruktūras attīstība un mobilitātes uzlabošana”. Paredzētās darbības risinās uzdevumā definētās mobilitātes problēmas reģionos, t.i., pateicoties mobilitātes punktu izveidei, nodrošinās pilsētu un reģionālā sabiedriskā transporta savienojamību, piedāvājot pasažieriem multimodālas pārvietošanās iespējas, t.i., dažādu transporta veidu savienojamību.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Sasaiste ar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stratēģiju klimatneitralitātes sasniegšanai līdz 2050.gadam visiem transporta veidiem būtu jāveicina mobilitātes sistēmas dekarbonizācija. Mērķis ir līdz 2050.gadam sasniegt nulles emisiju līmeni. Tā sasniegšanai paredzētie pasākumi nodrošinās mobilitātes punktu attīstību. Paredzētās darbības tiešā veidā palīdz sasniegt klimatneitralitātes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Nacionālo klimata un enerģētikas plāna 2021.-2030.gadam (NEKP) mērķis ir mazināt Latvijas cilvēku, tautsaimniecības, infrastruktūras, apbūves un dabas ievainojamību pret klimata pārmaiņu ietekmēm un veicināt klimata pārmaiņu radīto iespēju izmantošanu. Plāna ietvaros attiecībā uz transporta sektoru ir noteikts ‘Nodrošināt esošās transporta (autoceļu, dzelzceļa, lidostu, ostu) un elektronisko sakaru infrastruktūras pielāgošanu klimata pārmaiņām’. Paredzēto pasākumu īstenošanā ir paredzēts ņemt vērā klimata pārmaiņu radītos potenciālos riskus, kā arī novērst 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Gaisa piesārņojuma samazināšanas rīcības plānu 2020.-2030.gadam un tajā noteiktajiem pasākumiem, transporta sektorā ir jāveicina iedzīvotāju paradumu maiņu, izvēloties sabiedrisko transportu, mikromobilitātes rīku vai pārvietoties kājām. Ieguldījumi tiešā veidā sniedz ieguldījumu plāna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rada ceturtdaļu ES SEG emisiju, un to apjoms aizvien palielinās. Saskaņā ar Zaļo kursu, līdz 2050.gadam transporta radītās emisijas jāsamazina par 90% salīdzinājumā ar 1990.gada līmeni. Virzību uz to sekmē Nacionālā enerģētikas un klimata plānā 2021.-2030.gadam noteiktie emisiju samazinošie pasākumi, kas vairumā plānoti enerģētikas un transporta sektoros, paredzot līdz 2030.gadam SEG emisijas samazināt par 6% ES emisijas kvotu tirdzniecības sistēmā neiekļautajās darbībās, salīdzinot ar 2005.gada līmeni. Transporta infrastruktūras attīstība ir neatraujami saistīta arī ar trokšņa piesārņojumu, kuru Pasaules Veselības organizācija uzskata par otro nozīmīgāko vides faktoru, kas ietekmē sabiedrības veselību Eiropā. Savukārt Eiropas Vides aģentūra ir konstatējusi, ka nozīmīgākais trokšņa avots ir autotransports, kur dominējošu lomu ieņem privātais autotransports.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2016.gada 1.janvāra VAS "Ceļu satiksmes drošības direkcija" (turpmāk- CSDD) veic transportlīdzekļu detalizētu uzskaiti pēc to izmantotās degvielas veida. Statistikas dati liecina, ka uz 2024.gada 1.janvāri ap 99,14% (uz 2021.gada 1.janvāri 99,83%) no Latvijas reģistrēto vieglo transportlīdzekļu skaita veido ar fosilo degvielu (benzīns, dīzeļdegviela) darbināmi transportlīdzekļi, no tiem 70% (uz 2021.gada 1.janvāri 67,65%) ir ar dīzeļdegvielu darbināmie vieglie transportlīdzekļi. Saskaņā ar CSDD datiem, elektrisko transportlīdzekļu skaits uz 2024.gada 1.janvāri Latvijā sastādīja 0,86% (uz 2021.gada 1.janvāri 0,17%) no reģistrēto vieglo transportlīdzekļu skaita. Papildus tam, 2024.gada 1.janvārī Latvijā uzskaitē ir 391 kvadricikli, 3 tricikli, 301 motocikli un 3 674 mopēdi, kas kā degvielu izmanto tikai elektrību.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enerģētikas sektors bija vislielākais SEG emisiju avots, radot 65,5% no kopējām SEG emisijām Latvijā, kur transporta nozares radīta SEG emisiju daļa sastāda 45,9%. Salīdzinot ar 1990.gadu, 2021.gadā enerģētikas nozares SEG emisiju daudzums ir samazinājies par 77,3%, būvniecības un rūpniecības nozarēs par 83,5%, savukārt citās nozarēs – par 73,3%. Vienīgi transporta SEG emisijas ir pieaugušas par 6,2%, salīdzinot ar 1990.gadu. Transporta sektorā emisijas 2021.gadā ir pieaugušas par 3,9%, salīdzinot ar 2020.gadu.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SEG emisiju samazināšanās no 1990. līdz 1999.gadam kopējās emisijas no transporta sektora piedzīvoja strauju kāpumu laikā no 2000. līdz 2007.gadam. Emisijas augstāko punktu sasniedza 2007.gadā, kad tās par 27,4% pārsniedza emisiju daudzumu 1990.gadā. Galvenais iemesls šādam SEG emisiju kāpumam bija straujā ekonomikas attīstība un iedzīvotāju ienākumu pieaugums, kas veicināja strauju automobiļu skaita pieaugumu. Laikā no 2008. līdz 2009.gadam galvenais iemesls, kas ietekmēja transporta aktivitātes, bija valsts ekonomikas lejupslīde – samazinājās pasažieru satiksme autotransportā (pasažierkilometros (pkm)) un arī kravu pārvadājumi (tonnkilometros (tkm)), kas attiecīgi noteica emisiju samazināšanos. No 2013. līdz 2018.gadam vērojams stabils transporta sektora SEG emisiju pieaugums, ko galvenokārt noteica pasažieru apgrozības (pkm) palielināšanās par 21,7%, bet mazākā mērā kravu apgrozības (tkm) palielināšanās par 1,6%. Galvenais iemesls SEG emisiju samazinājumam 2020.gadā bija straujais kritums kravu pārvadājumiem ar dzelzceļa transportu un attiecīgi degvielas patēriņa dzelzceļa transportā samazināšanās. Mazāka ietekme uz SEG emisiju samazināšanos bija Covid-19 pandēmijas radītiem ierobežojumiem. 2021.gadā, salīdzinot ar 1990.gadu, transporta sektora radītās SEG emisijas ir palielinājušās par 6,2%, un, salīdzinot ar 2020.gadu, emisijas palielinājušās par 3,9%. Ja salīdzina ar 2005.gada SEG emisiju līmeni, tad 2021.gadā transporta sektora radītās SEG emisijas ir palielinājušās par 3,8%. Autotransports ir lielākais emisiju avots transporta sektorā. 2021.gadā autotransporta sektora SEG emisijas ir pieaugušas par 28,0%, salīdzinot ar 1990.gadu. Savukārt, salīdzinot ar 2020.gadu, emisiju daudzums ir palielinājies par 4,0%.[1]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ES klimatneitralitātes mērķu sasniegšanu, plānots izbūvēt sabiedriskā transporta savienojumu punktus (Stacija 2.0) prioritāri pie dzelzceļa stacijām, veicinot alternatīvo degvielu transportlīdzekļu īpatsvara, sabiedriskā transporta lietotāju, kā arī mikromobilitātes rīku (velosipēdi, skrejriteņi, līdzsvara un balansa riteņi u.c. rīki, pārvietošanās ar kājām) lietotāju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apstiprināta Sabiedriskā transporta attīstības koncepcija 2021.-2030.gadam (turpmāk – koncepcija), kur dzelzceļš ir noteikts kā transporta sistēmas “mugurkauls”. Turpat noteikts, ka maršrutos ar lielu pasažieru plūsmu pārvadājumi tiks nodrošināti ar dzelzceļa transportu, autobusi veiks pasažieru nogādāšanu līdz vilcienam. Pasažieru pārvadājumus ar autobusiem turpinās nodrošināt vietās, kur nav pieejami dzelzceļa pasažieru pārvadājumu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radīt priekšnosacījumus iedzīvotāju, it īpaši pilsētās, pārvietošanas paradumu maiņai, un tieši, privāto automašīnu nomaiņai uz sabiedrisko transportu, kā arī uz videi draudzīgākiem transportlīdzekļiem. Kā liecina dažādu aptauju rezultāti, iedzīvotāju izvēli par labu privātā autotransporta lietošanai sekmē vairāku faktoru kopums: brauciena laiks, pārpildīts sabiedriskais transports, izteikti zems sabiedriskā transporta kustības ātrums sastrēgumu laikā, slikta sabiedriskā transporta sasniedzamība vai pieejamība, zemāks brauciena komforts, sabiedriskā transporta savienojumu trūkums vēlamajos virzienos, sabiedriskā transporta savienojumu punktu trūkums, velosipēdu ceļu infrastruktūras trūkums, Park&amp;Ride trūkums pie dzelzceļa stacijām un 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minētās problemātikas risinājumiem ir uzsākta transporta reforma Atveseļošanas un noturības mehānisma plāna ietvaros, kas vērsta uz sabiedriskā transporta, kas ir būtisks instruments ilgtspējīgas mobilitātes nodrošināšanā, konkurētspējas attīstību Rīgas metropoles areālā un paredz integrētu un koordinētu pieeju pasažieru pārvadājumu plānošanai, pasūtīšanai un organizācijai, kā arī vienotas sistēmas izveidi biļešu tirdzniecībai (vienotā biļete) un pasažieru informēšanai (tai skaitā reāllaikā). Pilnībā reformu paredzēts realizēt līdz 2030.gadam, paredzot pārejas periodu sākot no 2023.gada, kad atsevišķi reformas rezultāti un elementi sāka 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Mikromobilitāte ir būtiska ilgtspējīgas un multimodālas transporta sistēmas sastāvdaļa, nodrošinot plašākas iedzīvotāju mobilitātes iespējas, īpaši īsos (līdz 10 km) attālumos. Kā galvenās mikromobilitātes priekšrocības ir minama pozitīvā ietekme uz vidi - netiek patērēta degviela, tādējādi netiek radītas CO2 emisijas, netiek radīti trokšņi un gaisa piesārņojums, kā arī netiek radīti sastrēgumi. Tāpat ir minama iešanas kājām un braukšanas ar velosipēdu pozitīvā ietekme uz sabiedrības veselību un finanšu līdzekļu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(turpmāk – ATD) apkopotie statistiskas dati[2] liecina, ka 2023.gadā reģionālajā sabiedriskajā transportā kopumā pārvadāti 39,6 miljoni pasažieri, kas ir par 2,2 miljoniem pasažieriem vairāk nekā 2022.gadā. ATD apkopoto statistikas dati sadalījumā pēc sabiedriskā transporta veidiem liecina, ka vislielākais pasažieru skaits 2023.gadā pārvadāts reģionālo autobusu maršrutu tīklā – 22,5 miljoni pasažieru, kas ir par 4% vairāk, nekā 2022.gadā, kad reģionālo autobusu maršrutu tīklā tika pārvadāti 21,6 miljoni pasažieru. 2023.gadā reģionālo autobusu maršrutu tīklā kopumā veikti 825,09 miljoni pasažierkilometru. Vidējais pārvadājuma attālums ar autobusiem 2023.gada 12 mēnešos bija 36,66 kilometri. Savukārt visstraujākais pasažieru skaita pieaugums 2023.gadā ir vērojams vilcienu maršrutos, kuros kopumā pārvadāti 17,1 miljoni pasažieru, kas ir par 9% vairāk, nekā 2022.gadā, kad vilcienos kopumā tika pārvadāti 15,7 miljoni pasažieru. No visiem 2023.gadā vilcienu maršrutos pārvadātajiem pasažieriem 92% jeb 15,7 miljoni tika pārvadāti Pierīgas zonu tarifa maršrutos un 8% jeb 1,3 miljoni – pārējos reģionālās nozīmes dīzeļvilcienu maršrutos. 2023.gadā vilcienu maršrutu tīklā kopumā veikti 612,3 miljoni pasažierkilometru, no kuriem elektrovilcienu maršrutos tika veikti 62% jeb 381,8 pasažierkilometru, bet dīzeļvilcienu maršrutos – 230,5 miljoni pasažierkilometru, kas veido 38% no visiem 2023.gadā vilcienu satiksmē veiktajiem pasažierkilometriem. Vidējais pārvadājuma attālums ar vilcieniem 2023.gada 12 mēnešos bija 35,7 kilometri. Tomēr, neskatoties uz pārvadāto pasažieru skaita pieaugumu 2023.gadā salīdzinājumā ar 2022.gadu, pārvadāto pasažieru skaits, kas ievērojami samazinājies Covid-19 pandēmijas un ar to saistīto ierobežojumu rezultātā, nav sasniedzis 2019.gada līmeni (reģionālie vilcieni - pārvadāti 18,4 miljoni pasažieru, reģionālie autobusi - pārvadāti 29,4 miljoni pasažieru). Lai gan kopējais ar sauszemes pasažieru transportu pārvadāto pasažieru skaits 2018.gadā pieauga par 0,1% salīdzinājumā ar 2017.gadu, 2019.gadā pārvadāto pasažieru skaits samazinājās gan regulāras satiksmes autobusu pārvadājumos, gan ar trolejbusiem un autobusiem. 2020.gadā pasažieru skaita samazināšanos visos transporta veidos noteica Covid-19 pandēmija un ar to saistītie pārvietošanās ierobežojumi. Neskatoties uz to, ka 2023.gadā salīdzinājumā ar 2022.gadu kopējais pasažieru skaits ir palielinājies par 13%, tomēr tas joprojām atpaliek no 2019.gada (pirms Covid-19 pandēmijas) pārvadāto pasažieru skaita par 21%. Pasažieru skaita palielināšana sabiedriskajā transportā ir uzskatāma par būtisku transporta nozares izaicinājumu, kas būs pamats ilgtspējīgas mobilitātes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savienojumu punktu izbūves rezultātā sagaidāms sabiedriska transporta pasažieru skaita pieaugums, kas veicinās privāta autotransporta izmantošanas samazinājumu, tādējādi, veicinot Zaļā kursa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paredzētā projekta īstenošanas vieta ir Latvijas Republikas teritorija. Pasākuma mērķa grupa ir satiksmes dalībnieki un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88 701 370 euro, tai skaitā ERAF finansējums 75 396 164 euro (tai skaitā elastības finansējuma apjoms 11 891 884 euro) un valsts budžeta līdzfinansējums – ne mazāk kā 13 305 206 euro (tai skaitā elastības finansējuma apjoms 2 098 568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paredzēts īstenot atklātās projektu iesniegumu atlases veidā, sadalot divās atlases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atlases kārtas ietvaros pieejamais finansējums ir 74 710 918 euro, tai skaitā ERAF finansējums – 63 504 280 euro un nacionālais finansējums ne mazāk kā 11 296 638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atlases kārtas ietvaros plānotais elastības finansējums ir ne mazāks kā 13 990 452 euro, tai skaitā ERAF finansējums – 11 891 884 euro un nacionālais finansējums ne mazāk kā 2 098 568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Abās kārtās pieejamais finansējums ir vienāds starp noteikumos noteiktajiem sabiedriskā transporta savienojuma punkta veidiem. Ja kādā no kārtām netiek iesniegti projektu iesniegumi par visu pieejamo finansējuma apjomu, tad Centrālā finanšu un līgumu aģentūra (turpmāk – sadarbības iestāde), saskaņojot ar atbildīgo iestādi, var palielināt pieejamo finansējumu starp pārējiem šo noteikumu noteiktajiem sabiedriskā transporta savienojuma punkta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ERAF finansējuma apmērs ir 85% no projektam plānotā kopējā attiecināmā finansējuma un maksimālais attiecināmais valsts budžeta līdzfinansējuma apmērs ir 15%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īstenošanā var piesaistīt papildu publiskos līdzekļus attiecināmo izmaksu segšanai, piemēram pašvaldības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vienam projektam pieejamais ERAF finansējums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savienojuma punktu attīstībai simetrijas mezglos – līdz 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savienojuma punktu attīstībai pārsēšanās punktos – līdz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savienojuma punktu attīstībai pārējās stacijās – līdz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pēc Eiropas Komisijas lēmuma par vidusposma pārskatu var ierosināt no 2026.gada 1.janvāra palielināt pasākumam pieejamo kopējo finansējumu, paredzot elastības finansējuma izmantošanu pēc 2026.gada 30.jūnija, nepārsniedzot pasākumam plānoto atbalsta intensitātes apmēru, paredzot elastības finansējuma izmantošanu šajos noteikumos minētajai otrajai atlases kārtai. Neizmantoto pirmās atlases kārtas finansējumu un finansējumu, kas atbrīvojies projektu īstenošanas rezultātā, novirza otrajai atlases kārtai. Neizmantoto otrā atlases kārtas finansējumu un finansējumu, kas atbrīvojies projektu īstenošanas rezultātā novirza secīgi nākamajam projekta iesniegumam ar augstāko kvalitātes kritēriju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Pretendēt atbalstam var pašvaldība un/vai pašvaldības kapitālsabiedrība ar attiecīgās pašvaldības, kuras teritorijā ir plānotas 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pamatojošās dokumentācijas sagatavošanas izmaksas (izņemot projekta iesnieguma veidlapas aizpildīšanas izmaksas) un uzraudzības izmaksas, kas kopā nepārsniedz 10 %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būvniecības ieceres dokumentācijas, būvprojekta minimālā sastāvā, apliecinājuma kartes vai paskaidrojuma raksta vai paziņojuma par būvniecību izstrāde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ekonomiskā pamatojuma,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par ietekmes uz vidi novērtējumu noteikto dokumentu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pieejamības ekspertu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būvuzraudzības, kā arī apvienotās būvprojekta izstrādes un būvdarbu veikšanas procesa neatkarīgas uzraudzības pakalpojuma izmaksas, autoruzraudzības izmaksas un normatīvajos aktos noteiktās attiecīgo būvspeciālistu obligātās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iegādes izmaksas, nepārsniedzot kā 10% no projekta kopējām attiecināmajām izmaksām, ja zemes iegāde ir tieši nepieciešama projektā paredzēto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infrastruktūras satiksmes organizācijas tehnisko līdzekļu un informatīvās infrastruktūras (piemēram, informatīvas norādes, ceļa zīmes) izveides un uzstādīšanas izmaksas ne vairāk kā 10 % no projekta būvdarbu līguma vai apvienotā būvprojekta izstrādes un būvdarbu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projekta Eiropas Savienības kohēzijas politikas programmas 2021.–2027.gadam apstiprināšanas brīža, izņemot valsts komercdarbības atbalsta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ir ņemtas vērā ar valsts komercdarbības atbalsta saņemšanu saistītās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detalizēti atrunā gadījumus, kad izmaksas tiek klasificētas kā valsts komercdarbības atbalsts, sniedzot atsauces uz 2014.gada 17.jūnija Komisijas Regulas (ES) Nr. 651/2014, ar ko noteiktas atbalsta kategorijas atzīst ar saderīgām ar iekšējo tirgu, piemērojot Līguma 107. un 108. pantu (turpmāk – regula Nr.651/2014), sniegtas atsauces uz 2023.gada 13.decembra Komisijas Regulas (ES) Nr.2023/2831, par Līguma par Eiropas Savienības darbību 107. un 108. panta piemērošanu de minimis atbalstam (turpmāk – regula Nr.2023/2831).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 projekta iesniegumā norādītajai attiecināmo izmaksu pozīcijai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85% ERAF finansējuma no attiecīgās izmaksu pozīcijas kopējām attiecināmajām izmaksām darbībām, kas nav kvalificējams kā valsts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pamatojošās dokumentācijas sagatavošanas izmaksas (izņemot projekta iesnieguma veidlapas aizpildīšanas izmaksas) un uzraudzības izmaksas, kas kopā nepārsniedz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būvniecības ieceres dokumentācijas, būvprojekta minimālā sastāvā, apliecinājuma kartes vai paskaidrojuma raksta vai paziņojuma par būvniecību izstrāde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ekonomiska pamatojuma,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par ietekmes uz vidi novērtējumu noteikto dokumentu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pieejamības ekspertu konsultācijas, vides aizsardzības obligāto prasību nodrošināšanas izmaksas, tostarp ietekmes uz vidi novērtējuma izmaksas, ciktāl to paredz normatīvie akti vides aizsardzības prasību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būvuzraudzības, kā arī apvienotās būvprojekta izstrādes un būvdarbu veikšanas procesa neatkarīgas uzraudzības pakalpojuma izmaksas, autoruzraudzības izmaksas un normatīvajos aktos noteiktās attiecīgo būvspeciālistu obligātās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transporta savienojumu punktu publiskās lietošanas un sabiedriskā transporta infrastruktūras izbūve (tostarp, ar dzelzceļa platformām integrēto vai atsevišķi stāvošu autobusu platformu izbūve vai pārbūve), pārbūve un atjaunošana, tostarp ar to funkcionalitātes nodrošināšanu saistītās mikromobilitātes infrastruktūras, bezemisiju transportlīdzekļu koplietošanas vietu izbūves, pārbūves un atjaunošanas izmaksas (ja attiecināms), kā arī ar to pieejamību un savienojamību saistītās infrastruktūras izbūves, pārbūves un atjaunošanas izmaksas, tostarp stāvparku un ar to saistītās infrastruktūras, kā arī gājēju celiņu un veloceliņu izbūve,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labiekārtošanas izmaksas atbilstoši būvprojekta risinājumam, tostarp, labiekārtojuma elementu uzstādīšana atbilstoši (piemēram, soliņi, atkritumu tvertnes u.c.). Projektā netiek atbalstītas vizuālās mākslas vai dizaina objektu iegādes un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apzaļumošana (piemēram, koku, krūmu un citu daudzgadīgo augu apstādījumi un dzīvžogi);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lietusūdens kanalizācijas infrastruktūras izbūve, pārbūve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apgaismojuma infrastruktūras izbūve, pārbūve vai atjaunošana, izmantojot gaismas diožu spuldzes jeb diodes (LED) kā gaismas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viedo, digitālo un videi draudzīgo iekārtu un aprīkojuma iegāde un uzstādīšana (tostarp elektroniskais tablo), lai nodrošinātu infrastruktūras funkcionalitāti, kā arī infrastruktūras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videonovērošanas iekārtu iegāde un uzstādīšana drošības nodrošināšanai attīstītajā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ielu, ceļu, funkcionālo savienojumu un ar tiem saistītās infrastruktūras izbūves, pārbūves vai atjaunošanas izmaksas projekta iesniegumā noteiktajā projekta īstenošanas teritorijā. Funkcionālais savienojums ir ielas vai ceļa posms, kas nepārsniedz divus kilometrus līdz projekta īstenošanas teritorijai. Funkcionālā savienojuma izmaksas ir attiecināmas arī tad, ja starp projekta iesniedzēja noteikto projekta īstenošanas teritoriju un funkcionālo savienojumu ir ielas vai ceļa posms, kas nav garāks par 400 metriem, izņemot gadījumu, ja funkcionālais savienojums ir vienīgā alternatīva nokļūšanai no projekta iesniedzēja noteiktās projekta īstenošanas teritorijas līdz publisko ceļu tīklam vai funkcionālais savienojums ir turpinājums tās pašas ielas vai tā paša ceļa posmam, kas nav garāks par 500 metriem. Tai skaitā attiecināmās izmaksas ir ar grants segumu, ja būvē jaunu ceļu, caurteku infrastruktūras attīstība un ar to saistītās infrastruktūras (piemēram, stāvlaukumi, pieturvietas) būvniecība,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kontakttīklu izbūves, pārbūves un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elektroapgādes sistēmu – kabeļu trašu un apakšstaciju – izbūves, pārbūves un atjaunošanas izmaksas, tostarp jaudas palielināšana, lai nodrošinātu sabiedriskā transporta savienojumu punktu elektroapgādes sistēmu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būvju un ielu tīklam piegulošo inženiertīklu un inženiertīklu pievadu izbūves, pārbūves un atjaunošanas izmaksas atbilstoši būvprojekta risinājumam. Izmaksas attiecināmas tikai tādā gadījumā, ja ir sertificēta būvinženiera ekspertīzes atzinums, kurā konstatēts, ka, projekta ietvaros veicot plānotos ieguldījumus noteiktās teritorijās, nav iespējams izvairīties no minētās infrastruktūras bojāšanas vai pārcelšanas, bet vienlaikus tiek nodrošināts, ka netiek mainīti inženiertīklu un inženiertīklu pievadu tehniskie parametri un investīcijas nerada priekšrocības šo inženiertīklu īpašniekam, ievērojot, ka sabiedriskā transporta savienojumu punktu infrastruktūra ir bez maksas un diskriminācijas publiski pieejama publiska infrastruktūra un tai nav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iegādes izmaksas, nepārsniedzot kā 10% no projekta kopējām attiecināmajām izmaksām, ja zemes iegāde ir tieši nepieciešama projektā paredzēto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infrastruktūras satiksmes organizācijas tehnisko līdzekļu un informatīvās infrastruktūras (piemēram, informatīvas norādes, ceļa zīmes) izveides un uzstādīšanas izmaksas ne vairāk kā 10% no projekta būvdarbu līguma vai apvienotā būvprojekta izstrādes un būvdarbu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100 % no kopējām attiecināmajām izmaksām parasto jaudu uzlādes punktu izbūves, uzstādīšanas, modernizēšanas vai paplašināšanas izmaksas, atbilstoši regulas Nr.651/2014 36.a panta 5. un 7. punkta nosacījumiem, nepārsniedzot 40% vienam uzņēmumam no investīcijas kopējām izmaksām un nodrošinot, ka ar parastas jaudas uzlādes punktu izveidi, apsaimniekošanu, uzturēšanu saistītie pakalpojumu sniedzēji izvēlēti atklātā, pārredzamā, nediskriminējošā un konkurenci nodrošinošā konkursa procedūrā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Lietus ūdens kanalizācijas infrastruktūras un apgaismojuma izbūve, pārbūve un atjaunošanas izmaksas ir publiskā infrastruktūra, kas nav komercdarbības atbalsts, tādēļ tai netiek piemēroti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labiekārtošanas izmaksas ir izmaksas publiskā infrastruktūrā, kas nav komercdarbības atbalsts, tādēļ tai netiek piemēroti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infrastruktūras satiksmes organizācijas tehnisko līdzekļu un informatīvās infrastruktūras (piemēram, informatīvas norādes, ceļa zīmes) izveides un uzstādīšanas izmaksas ir publiskās infrastruktūras izmaksas un tām nav piemērojami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tablo iegādes un uzstādīšanas izmaksas sabiedriskā transporta savienojumu punktos, kas nepieciešams infrastruktūras funkcionalitātes nodrošināšanai un infrastruktūras nodošanai ekspluatācijā ir publiskās infrastruktūras izmaksas un tām nav piemērojami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investīcijas ir tādā sabiedriskā transporta savienojumu punktu infrastruktūrā, kuru plānots izmantot saimnieciskās darbības veikšanai (piemēram, uzlādes punktu pakalpojumi par samaksu vai gadījumā, ja sabiedriskā transporta savienojumu punktu izbūvētu, pārbūvēju vai atjaunotu laukumu teritoriju plānots iznomāt komersantam saimnieciskās darbības veikšanai) un atbalsts pēc projekta pieteikuma iesniegšanas tiek sniegts piemērojot regulas Nr.651/2014 36.a panta nosacījumus, šādām izmaksām, kas nepieciešami projekta pieteikuma sagatavošanai tā iesniegšanai, ir piemērojami regulas Nr.2023/2381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pamatojošās dokumentācijas sagatavošanas izmaksas (izņemot projekta iesnieguma veidlapas aizpildīšanas izmaksas) un uzraudzības izmaksas, kas kopā nepārsniedz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būvniecības ieceres dokumentācijas, būvprojekta minimālā sastāvā, apliecinājuma kartes vai paskaidrojuma raksta vai paziņojuma par būvniecību izstrāde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ekonomiska pamatojuma,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par ietekmes uz vidi novērtējumu noteikto dokumentu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pieejamības ekspertu konsultācijas, vides aizsardzības obligāto prasību nodrošināšanas izmaksas, tostarp ietekmes uz vidi novērtējuma izmaksas, ciktāl to paredz normatīvie akti vides aizsardzības prasību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būvuzraudzības, kā arī apvienotās būvprojekta izstrādes un būvdarbu veikšanas procesa neatkarīgas uzraudzības pakalpojuma izmaksas, autoruzraudzības izmaksas un normatīvajos aktos noteiktās attiecīgo būvspeciālistu obligātās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sabiedriskā transporta savienojumu punktos plānots izveidot parastās jaudas uzlādes punktus privātajam elektrotransportam. Noteikumu projekta ietvaros atbalsts netiek sniegs ūdeņraža uzpildes infrastruktūrai, kā arī ar ūdeņraža piegādi saistītai infrastruktūrai. Parastās jaudas uzlādes punkti paredzēti elektrotransporta, kura jauda nepārsniedz 22 kW, uzlādei sabiedriskā transporta savienojumu punktos, līdz ar to tiem paredzētais atbalsts tiek iekļauts sabiedriskā transporta savienojumu punktu finansējumā. Parastās jaudas uzlādes punktu izbūve var būt gan pilnībā pabeigta, gan veikti tikai infrastruktūras sagatavošanas darbi (piemēram, elektriskā kabeļa uzstādīšana), lai nākotnē izvairītos no izveidotās sabiedriskā transporta savienojumu punktu zemes segumu demontāžas, pārrakšanas u.tml. Investīcijas ietvaros izveidotai parastās jaudas uzlādes punktu infrastruktūrai jābūt publiski pieejamai un jānodrošina nediskriminējošu piekļuvi lietotājiem, tostarp attiecībā uz tarifiem, autentificēšanos, maksāšanas metodēm un citiem lietošanas noteikumiem. Parastās jaudas uzlādes punktu pakalpojuma gala lietotājs ir ikviens iedzīvotājs. Parastās jaudas uzlādes punktu izbūves izmaksas ir klasificējamas kā valsts komercdarbības atbalsts un tam piemērojami regulas Nr.651/2014 36.a panta nosacījumi, pirms projekta pieteikuma iesniegšanas šādas izmaksas ir attiecināmas saskaņā ar regulas Nr.2023/2381 nosacījumiem (ja šādas izmaksas ir nodalītas):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pamatojošās dokumentācijas sagatavošanas izmaksas (izņemot projekta iesnieguma veidlapas aizpildīšanas izmaksas) un uzraudzības izmaksas, kas kopā nepārsniedz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būvniecības ieceres dokumentācijas, būvprojekta minimālā sastāvā, apliecinājuma kartes vai paskaidrojuma raksta vai paziņojuma par būvniecību izstrāde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ekonomiska pamatojuma,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par ietekmes uz vidi novērtējumu noteikto dokumentu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pieejamības ekspertu konsultācijas, vides aizsardzības obligāto prasību nodrošināšanas izmaksas, tostarp ietekmes uz vidi novērtējuma izmaksas, ciktāl to paredz normatīvie akti vides aizsardzības prasību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būvuzraudzības, kā arī apvienotās būvprojekta izstrādes un būvdarbu veikšanas procesa neatkarīgas uzraudzības pakalpojuma izmaksas, autoruzraudzības izmaksas un normatīvajos aktos noteiktās attiecīgo būvspeciālistu obligātās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sabiedriskā transporta savienojumu punktu projektu ietvaros nav iespējams nodalīt zemāk norādītas izmaksas no Park&amp;Ride (stāvparku) vai sabiedriskā transporta savienojumu punktu izmaksām, tad šādām Park&amp;Ride (stāvparku) un sabiedriskā transporta savienojumu punktu izmaksām ir piemērojami regulas Nr.2023/2831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pamatojošās dokumentācijas sagatavošanas izmaksas (izņemot projekta iesnieguma veidlapas aizpildīšanas izmaksas) un uzraudzības izmaksas, kas kopā nepārsniedz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būvniecības ieceres dokumentācijas, būvprojekta minimālā sastāvā, apliecinājuma kartes vai paskaidrojuma raksta vai paziņojuma par būvniecību izstrāde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ekonomiska pamatojuma, izmaksu un ieguvumu analīzes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par ietekmes uz vidi novērtējumu noteikto dokumentu sagatavošanas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pieejamības ekspertu konsultācijas, vides aizsardzības obligāto prasību nodrošināšanas izmaksas, tostarp ietekmes uz vidi novērtējuma izmaksas, ciktāl to paredz normatīvie akti vides aizsardzības prasību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būvuzraudzības, kā arī apvienotās būvprojekta izstrādes un būvdarbu veikšanas procesa neatkarīgas uzraudzības pakalpojuma izmaksas, autoruzraudzības izmaksas un normatīvajos aktos noteiktās attiecīgo būvspeciālistu obligātās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parastas jaudas uzlādes punktu izveidi/ izbūvi, finansējuma saņēmējs primāri izvērtē nepieciešamo komunikāciju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parastās jaudas uzlādes punktu izbūves izmaksas vai to daļu kompensē attiecīgās infrastruktūras pārvaldītājs (elektroenerģijas sadales operators), finansējuma saņēmējs atmaksā Centrālai finanšu un līgumu aģentūrai (turpmāk – sadarbības iestāde) kā vienošanās slēdzējiestādei attiecīgo izmaksu kompensācijas ERAF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parastās jaudas uzlādes infrastruktūrai tiek sniegts, piemērojot regulas Nr.651/2014 36.a panta nosacījumus un finansējuma saņēmējam ir pienākums projekta pieteikumam pievienot apliecinājumu par regulas Nr.651/2014 36.a panta 10. un 11. punkta nosacījumu izpildi, precīzi norādot veiktos pētījumus par uzlādes punktu izbūves nepieciešamību, kā arī sniegt atsauces uz informācijas avotiem. Regulas Nr.651/2014 36.a panta 6.punkts nosaka, ka atbalstu sniedz arī bez konkurenci veicinošas konkursa procedūras, paredzot zemāku atbalsta intensitāti. Noteikumu projekta ietvaros regulas Nr.651/2014 36.a panta 6.punkta nosacījumi netiek piemēroti.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ir pienākums nodrošināt, ka ar parastas jaudas uzlādes punktu izbūvi, apsaimniekošanu, uzturēšanu saistītie pakalpojumu sniedzēji tiks izvēlēti atklātā, pārredzamā, nediskriminējošā un konkurenci nodrošinošā konkursa procedūrā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ir pienākums nodrošināt, ka ar Park&amp;Ride (stāvparku) apsaimniekošanu un uzturēšanu saistītie pakalpojumu sniedzēji tiks izvēlēti atklātā, pārredzamā, nediskriminējošā un konkurenci nodrošinošā konkursa procedūrā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savienojumu punktos izveidotajiem Park&amp;Ride (stāvparkiem) pakalpojuma gala lietotājs ir ikviens iedzīvotājs un Park&amp;Ride (stāvparku) izmantošanu jānodrošina bez samaksas. Noteikumi paredz Park&amp;Ride (stāvparku) un ar to saistītās infrastruktūras izbūvi, pārbūvi un atjaunošanu sabiedriskā transporta savienojumu punktos. Ar to izveidi saistītās izmaksas ir publiskās infrastruktūras izbūves, pārbūves un atjaunošanas izmaksas un tām nav piemērojami valsts komercdarbības atbalsta kontroles regulējuma nosacījumi. Atbilstoši Eiropas Komisijas paziņojuma par Līguma par Eiropas Savienības darbību 107.panta 1.punktā minēto valsts atbalsta jēdzienu (2016/C 262/01) 207.punktu, Park&amp;Ride (stāvparku) infrastruktūra ir uzskatāma par nesaimniecisko infrastruktūru un uz šo infrastruktūru attiecina papildinošas saimnieciskās darbības un papildpakalpojumu nosacījumus. Papildinošas saimnieciskās darbības un papildpakalpojumu nosacījumi piemērojami gadījumos, kad infrastruktūras teritorija vai tā daļa nododama nomai kiosku, karsto dzērienu un uzkodu pārdošanas automātu novietošanai, velosipēdu nomas pakalpojumiem u.c., katrā gadījumā vērtējot, vai tas atbilst papildinošās saimnieciskās darbības vai papildpakalpojumu definīcijai un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izmaksas ir attiecināmas no projekta Eiropas Savienības kohēzijas politikas programmas 2021.–2027. apstiprināšanas brīža, ja vienošanās ar sadarbības iestādi noslēgšanas brīdī darbības nav pabeigtas, atbilst noteikumos minētajām izmaksu pozīcijām, un tiek īstenoti ne vēlāk par 2029.gada 31.decembrim, izņemot komercdarbības atbalsta gadījumā darbībām, kuras īstenojamas saskaņā ar regulas Nr.651/2014 2.panta 23.punkta nosacījumiem, kur darbu sākums ir ar ieguldījumu saistītu būvdarbu sākums vai pirmā juridiski saistošā apņemšanās pasūtīt aprīkojumu vai citas saistības, kas padara ieguldījumu neatgriezenisku, - atkarībā no tā, kas notiek pirmais un darbi nedrīkst tikt uzsākti agrāk par projekta iesnieguma iesniegšanas brīdi. Un tieši, darbus var uzsākt pēc projekta pieteikuma iesniegšanas sadarbības iestādē atbilstoši regulas Nr.651/2014 6.pantā noteiktajam. Zemes pirkšanu un tādus sagatavošanās darbus kā atļauju saņemšana un priekšizpētes veikšana neuzskata par darbu sākumu. Attiecībā uz pārņemšanu “darbu sākums” ir brīdis, kad tiek iegādāti aktīvi, kas ir tieši saistīti ar iegādāto uzņēmējdarbības vietu. Ja darbu sākums ir pirms projekta iesnieguma iesniegšanas brīža, 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kurā ir paredzēta valsts komercdarbības atbalsta summēšana (kumulācija), vienlaikus iesniedz sadarbības iestādē un pārējās iesaistītajās komercdarbības atbalsta piešķīrējinstitūcijās. Ja projekta iesniegums netiek iesniegts vienlaikus visās valsts komercdarbības atbalsta piešķīrējinstitūcijās, tad izmaksas projekta darbībām, kas tiek ieviestas saskaņā ar regulas Nr.651/2014 36.a pantu, ir attiecināmas no dienas, kurā projekta iesniegums iesniegts pēdējā no valsts komercdarbības atbalsta piešķīrējinstitūcijām. Projektiem, kur paredzēta parastās jaudas uzlādes punktu izbūve līgumus slēdz un ar ieguldījumiem saistītos būvdarbus uzsāk pēc projekta iesnieguma iesniegšanas pēdējā no valsts komercdarbības atbalsta piešķīrējinstitūcijām.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nodrošināt, ka darbības ir vērstas uz regulas Nr.2021/241 5.panta 2.punktā un Eiropas Parlamenta un Padomes 2020.gada 18.jūnija Regulas (ES) 2020/852 par regulējuma izveidi ilgtspējīgu ieguldījumu veicināšanai un ar ko groza Regulu (ES) 2019/2088 (turpmāk - regula Nr.2020/852) 17.pantā minētā principa “nenodari būtisku kaitējumu” vides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 saimnieciska darbība un papildpakalpojumi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efektīvāk izmantot projekta ietvaros radīto vai modernizēto sabiedriskā transporta savienojumu punktu infrastruktūru, nodrošinot iespēju to izmantot saimniecisku darbību īstenošanai, tostarp nomāt trešajām pusēm (papildinoša saimnieciska darbība, papildpakalpojumi). Lai varētu īstenot saimnieciskās darbības, projekta īstenotājam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katru gadu papildinošai saimnieciskai darbībai iedalītā kapacitāte platības, laika vai finanšu izteiksmē nepārsniedz 20% no infrastruktūras kopējās gada kapacitātes platības, laika vai finanšu izteiksmē. Ja kādā no kalendāra gadiem projekta pārskata periodā papildinošai saimnieciskai darbībai iedalītā kapacitāte platības, laika vai finanšu izteiksmē pārsniedz 20% no infrastruktūras kopējās gada kapacitātes platības, laika vai finanšu izteiksmē, finansējuma saņēmējam proporcionāli tai gada jaudas daļai, par kuru kopumā ir konstatēts pārkāpums, ir pienākums atmaksāt Aģentūrai visu projekta ietvaros saņemto nelikumīgo komercdarbības atbalstu kopā ar procentiem par attiecīgo gadu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parastos papildpakalpojumus galvenokārt izmanto ar saimniecisku darbību nesaistītai pamatdarbībai un tie neietekmē tirdzniecību starp ES dalībvalstīm (pakalpojumiem ir vietējs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Papildinošās saimnieciskās darbības gadījumā, finansējuma saņēmējs nodrošina projekta atvasinājuma un ar projekta īstenošanu un darbībām projekta dzīves ciklā saistīto dokumentu oriģinālu vai normatīvajos aktos par dokumentu izstrādāšanu un noformēšanu noteiktajā kārtībā apliecināto kopiju glabāšanu visā projekta dzīves cikla laikā, nodrošinot arī to pieejamību. Minētais nosacījums neattiecās uz dokumentāciju, kas saistīta ar komercdarbības atbalsta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veikto ieguldījumu transportlīdzekļu uzlādei (uzlādes punktiem) amortizācijas periods tiek noteikts atbilstoši ražotāja tehniskai specifikācijai. Jāņem vērā, ka attiecībā uz ieguldījumiem transportlīdzekļu uzlādei (uzlādes punktiem) nepastāv vienots normatīvais regulējums, kas nosaka uzlādes punktu amortizācijas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atbalstāmās darbības ir multimodāla sabiedriskā transporta tīkla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savienojuma punktu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sabiedriskā transporta pieejamību un savienojamību saistītās mikromobilitātes infrastruktūras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elektrotransportlīdzekļu uzlādes punktu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kas apliecina projektā paredzētā nacionāla rādītāja sasniegšanu ir akts par būves vai tās daļas, kā arī izveidotās infrastruktūras pieņemšanu ekspluatācijā, ko izsniegusi institūcija, kura pilda būvvaldes funkcijas saskaņā ar normatīviem aktiem. Gadījumā, ja konkrētajā gadījumā institūcija, kura pilda būvvaldes funkcijas, šādu aktu neizsniedz, jo to neparedz normatīvie akti, dokuments, kas apliecina projektā paredzētā rādītāja sasniegšanu ir finansējuma saņēmēja apliecinājums par jaunas izbūvētas un pārbūvētas infrastruktūras nodošanu ekspluatācijā, tostarp par atjaunoto, pilnveidoto un pielāgoto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saņēmēji nodrošina projektā plānoto darbu sasaisti, sinerģiju un demarkāciju ar citu ES fondu un citu atbalsta instrumentu investīcijām. Papildu ieguldījumu gadījumā citu atbalsta instrumentu, tostarp ES fondu, ietvaros, tie tiks veikti sinerģijā ar projekta ietvaros plānotajiem ieguldījumiem, vienlaikus nepieļaujot dubultfinansēšanas risku, tostarp ievērojot risku vadības un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papildinošās saimnieciskās darbības un parasto papildpakalpojumu īstenošanu, finansējuma saņēmējam ir pienākums nekavējoties informēt sadarbības iestādi par šādu darbību uzsākšanu, vienlaikus iesniedzot noteikumu projektā minēto kārtību un norādītos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nodrošināt, ka komersanti, kuri nomās no finansējuma saņēmēja projekta ietvaros attīstīto teritoriju vai tā daļu un ar to saistīto infrastruktūru, vai komersanti, kas veiks nekustamā īpašuma apsaimniekošanu, tiks izvēlēti atklātā, pārredzamā, nediskriminējošā un konkurenci nodrošinošā konkursa procedūrā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analīzes izstrāde ir svarīgs komponents, lai projekta ietvaros nodrošinātu noteikto investīcijas mērķu sasniegšanu. Izmaksu un ieguvumu analīzes izstrādes izmaksas uzskatāmas par atbalstāmām izmaksām un ir obligāts projekta iesnieguma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savienojumu punktu izbūves izmaksas ietver arī nojumu izbūves, pārbūves vai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Inženiertīkls </w:t>
      </w:r>
      <w:r w:rsidR="00000000" w:rsidRPr="00000000" w:rsidDel="00000000">
        <w:rPr>
          <w:rtl w:val="0"/>
        </w:rPr>
        <w:t xml:space="preserve">- atbilstoši 2014.gada 1.oktobra Ministru kabineta noteikumu Nr.500 "Vispārīgie būvnoteikumi" (turpmāk – MK noteikumi Nr.500) 1.nodaļas 2.16.apakšpunktā noteiktajam, kur inženiertīkls ir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Inženiertīklu pievads </w:t>
      </w:r>
      <w:r w:rsidR="00000000" w:rsidRPr="00000000" w:rsidDel="00000000">
        <w:rPr>
          <w:rtl w:val="0"/>
        </w:rPr>
        <w:t xml:space="preserve">- atbilstoši MK noteikumu Nr.500 1.nodaļas 2.17.apakšpunktā noteiktajam, kur inženiertīklu pievads ir ārējā energoapgāde, elektronisko sakaru, ūdens un citu resursu apgādes sistēma, kas sastāv no pazemes vai (un) virszemes cauruļvadu, kabeļu, vadu un tā tehnisko ietaišu kopuma no sadales tīkla līdz būves ievada noslēgierīcei vai ievada sadalnei.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Mikromobilitāte </w:t>
      </w:r>
      <w:r w:rsidR="00000000" w:rsidRPr="00000000" w:rsidDel="00000000">
        <w:rPr>
          <w:rtl w:val="0"/>
        </w:rPr>
        <w:t xml:space="preserve">saprotama kā cilvēku pārvietošanās ar kājām vai videi draudzīgu transportlīdzekli, kas paredzēts vienai personai un kuru darbina cilvēka muskuļu spēks vai dabai draudzīgs dzinējs. Mikromobilitātes infrastruktūra saprotama kā gājējiem un velosipēdistiem paredzēta no autotransporta nodalīta infrastruktūra, tostarp kopīga gājēju un velosipēdistu infrastruktūra, gan arī atdalīta.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Simetrijas mezgla stacija</w:t>
      </w:r>
      <w:r w:rsidR="00000000" w:rsidRPr="00000000" w:rsidDel="00000000">
        <w:rPr>
          <w:rtl w:val="0"/>
        </w:rPr>
        <w:t xml:space="preserve"> – VSIA “Autotransporta direkcija” noteikta dzelzceļa stacija – nozīmīgs multimodāla sabiedriskā transporta mezgla punkts reģionālās nozīmes maršrutu tīklā, kurā atbilstoši simetriskā regulāra intervāla grafika principiem plānots vienlaicīgi organizēt saskaņotu pārsēšanos starp visiem vai gandrīz visiem apkalpotajiem vilcienu un autobusu maršrutiem un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Pārsēšanās stacija </w:t>
      </w:r>
      <w:r w:rsidR="00000000" w:rsidRPr="00000000" w:rsidDel="00000000">
        <w:rPr>
          <w:rtl w:val="0"/>
        </w:rPr>
        <w:t xml:space="preserve">– VSIA “Autotransporta direkcija” noteikta dzelzceļa stacija vai dzelzceļa pieturas punkts - multimodāla sabiedriskā transporta mezgla punkts reģionālās nozīmes maršrutu tīklā, kurā plānots organizēt pārsēšanos starp vilcienu un autobusu vismaz divos maršrutos vai virzienos. Pārsēšanās punkti var tikt noteikti arī valstspilsētu teritorijā pārsēšanās organizēšanai starp reģionālās nozīmes maršrutiem pa dzelzceļu un valstspilsētas sabiedriskā transporta maršrutiem, valstspilsētai saskaņojot to ar 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Pārējās stacijas</w:t>
      </w:r>
      <w:r w:rsidR="00000000" w:rsidRPr="00000000" w:rsidDel="00000000">
        <w:rPr>
          <w:rtl w:val="0"/>
        </w:rPr>
        <w:t xml:space="preserve"> – autoostas, pārējās dzelzceļa stacijas un pieturas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Parastās jaudas uzlādes punkts </w:t>
      </w:r>
      <w:r w:rsidR="00000000" w:rsidRPr="00000000" w:rsidDel="00000000">
        <w:rPr>
          <w:rtl w:val="0"/>
        </w:rPr>
        <w:t xml:space="preserve">– saskaņā ar 2023. gada 13. septembra Eiropas Parlamenta un Padomes regulas Nr. 2023/1804 par alternatīvo degvielu infrastruktūras ieviešanu un ar ko atceļ Direktīvu 2014/94/ES 2. panta 37. punkta definīciju - uzlādes punkts, kura izejas jauda ir 22 kW vai mazāka un kurš paredzēts elektroenerģijas pārvadei uz elektrotransportlīdzekli.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attiecināms pievienotās vērtības nodoklis (turpmāk – PVN) tiešajām attiecināmajām izmaksām saskaņā ar regulas Nr.2021/1060 64.panta 1.punkta “c” apakšpunkta nosacījumiem,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radušās sadārdzinājuma izmaksas finansējuma saņēmējs finansē no saviem līdzekļiem. Sadārdzinājuma izmaksas, kuru finansēšana būtu kvalificējama kā valsts komercdarbības atbalsts, finansējamas no līdzekļiem, kas ir brīvi no jebkāda valsts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ietvaros plānotās atbalstāmās darbības atbilst programmā noteiktajam intervences kodam – 081 “tīra pilsētvides transporta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veids: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Teritoriālais īstenošanas mehānisms un teritoriālais aspekts: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sekundārais temats: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līdztiesības dimensija: dzimumu neitralitāte.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kategorija saskaņā ar Eiropas Parlamenta un Padomes Regulas (ES) 2021/1060 (2021.gada 24.jūnijs),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Horizontālais princips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investīcijām būs netieša ietekme un horizontālo principu "Vienlīdzība, iekļaušana, nediskriminācija, un pamattiesību ievērošana" un netieša ietekme uz horizontālo principu "Klimatnodrošināšana". Plānotajām investīcijām būs ietekme uz horizontālo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sasaisti ar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principa “Nenodarīt būtisku kaitējumu” (turpmāk – NBK) novērtējumu pasākumam ietekme uz SEG emisijām. Pasākums 100% atbalsta klimata pārmaiņu mērķi (081 – tīra pilsētvides transporta infrastruktūra) un tādējādi tiek uzskatīts par atbilstīgu NBK attiecībā uz attiecīgo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notiks videi draudzīgi uzlabojumi sabiedriskā transporta sistēmā, t.i., tiks nodrošināta tīra sabiedriskā transporta infrastruktūra (sabiedriskā transporta savienojumu punktu izveide multimodālai mobilitātei, nodrošinot dažādu pārvietošanās veidu savienojamību).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9.punktā (3.papildinājums) pasākums iekļauts plānoto stratēģiski svarīgo darbību sarakstā. Ņemot vērā to, ka tiks organizēta atklātā projektu iesniegumu atlase un atbildīgā iestāde nevar iepriekš (pirms projektu pieteikumu iesniegšanas) identificēt konkrētus projektus, kuriem noteikt stratēģiski svarīgo projektu statusu. Atbildīgā iestāde par stratēģiski svarīgiem projektiem šo noteikumu ietvaros uzskata projektus, kuri tiks īstenoti simetrijas mezglos Latvijas valstspilsētās. Līdz ar to, Latvijas valstspilsētu pašvaldību sabiedriskā transporta savienojumu punktu projektiem, finansējuma saņēmējs komunikāciju par projektu nodrošina saskaņā ar vadlīnijām “ES fondu 2021.-2027.gada plānošanas perioda un Atveseļošanas fonda komunikācijas un dizaina vadlīnijas”, un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stratēģiski svarīgā projekta komunikācijas plānu, kas paredz nodrošināt vismaz viena plašāka mēroga publicitātes pasākumu mediju intereses un sabiedrības uzmanības piesaistīšanai (piemēram, projekta atklāšanas, vidusposma vai noslēguma fāzē). Stratēģiski svarīgā projekta komunikācijas plāns ir jāiesniedz informācijai arī atbildīgai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stratēģiski svarīgā projekta komunikācijas aktivitātēs (īpaši, plašāka mēroga publicitātes pasākumi, preses relīzes) nodrošina cieša sadarbība ar atbildīgo nozares iestādi un Eiropas Komisijas pārstāvniecību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par projektu un atbalstāmo darbību īstenošanu nodrošina informācijas un publicitātes pasākumus saskaņā ar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par kārtību, kādā Eiropas Savienības fondu vadībā iesaistītās institūcijas nodrošina šo fondu ieviešanu 2021.–2027.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vides, ģeoloģijas un meteoroloģijas cents, “Kopsavilkums par 2023.gada siltumnīcefekta gāzu inventarizāciju, balstoties uz versiju, kas iesniegta ANO Vispārējai konvencijai par klimata pārmaiņām 15.04.2023.”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https://www.atd.lv/lv/jaunumi/p%C4%81rvad%C4%81to-pasa%C5%BEieru-skaits-re%C4%A3ion%C4%81laj%C4%81-sabiedriskaj%C4%81-transport%C4%81-2023-gad%C4%81-palielin%C4%81jies-par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Latvijas Republikas iedzīvotājiem, sabiedriskā transporta infrastruktūras lietotājiem, kā arī velosipēdu ceļu un gājēju infrastruktūras lietotājiem. Projekta īstenošana veicinās reģionālas un pilsētas nozīmes sabiedriskā transporta integrāciju, kas apvienojumā ar saistīto projektu attīstību velosipēdu ceļu infrastruktūrā, sabiedriskā transporta integrācijā un attīstībā, kā arī satiksmes infrastruktūras attīstību, veicinās paradumu maiņu un sekmēs ES Zaļā kursa mērķu sasniegšanu, kā arī uzlabos vides draudzīgā sabiedriskā transporta un velosipēdu ceļu infrastruktūras pieejamību. Projekta īstenošanas rezultātā tiks veicināta SEG emisiju samazināšanās transporta sektorā.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Latvijas Republikas pašvaldībām. Juridiskām personām 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var ietekmēt satiksmes dalībniekus, iedzīvotājus, velosipēdu ceļu, tostarp kopīgas gājēju un velosipēdu ceļu, infrastruktūras lietotājus. Projekta īstenošanas rezultātā tiks veicināta SEG emisiju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rezultātā ir sagaidāms, ka palielināsies sabiedriskā transporta un mikromobilitātes infrastruktūras un rīku lietotāju skaits. Pasākuma ietvaros plānotās infrastruktūras izveidošana stimulēs pārvietošanās paradumu maiņu. Sabiedriskā transporta vai/un mikromobilitātes infrastruktūras un rīku lietotāju skaita pieaugums veicinās arī SEG emisiju samazinājumu, vienlaikus tam ir būtiska loma sabiedrības sociālajā dzīvē (piem., nodrošināta mobilitāte mājsaimniecībām ar zemākiem ienākumiem, uzlabota sabiedrības veselība un ietaupīti veselības aprūpē nodalīto budžetu resursi, paaugstināta dzīves kvalitāte,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11 309 424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15 792 323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15 079 232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33 928 273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11 309 424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15 792 323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15 079 232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33 928 273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13 305 205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39 915 616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13 305 205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39 915 616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-1 995 781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-1 947 951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-5 987 343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-1 995 781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-1 947 951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-5 987 343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-1 995 781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-1 947 951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-2 661 042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-5 987 343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88 701 370 euro, tai skaitā elastības finansējums 13 990 452 euro, ko veido ERAF finansējums 75 396 164 euro (tai skaitā elastības finansējums 11 891 884 euro) un nacionālais (pašvaldību un privātais) finansējums – ne mazāk kā 13 305 206 euro (tai skaitā elastības finansējums 2 098 568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finansējuma sadalījums pa projektu iesniegumu atlases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pirmās atlases kārtas ietvaros pieejamais finansējums ir 74 710 918 euro, tai skaitā ERAF finansējums – 63 504 280 euro un nacionālais finansējums ne mazāk kā 11 296 638 euro, paredzot šo noteikumu 4.2.punktā minētā nacionālā iznākuma rādītāja izpildi – vismaz 25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otrās atlases kārtas ietvaros plānotais elastības finansējums ir ne mazāks kā 13 990 452 euro, tai skaitā ERAF finansējums – 11 891 884 euro un nacionālais finansējums ne mazāk kā 2 098 568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attiecināmais ERAF finansējuma apmērs ir 85% no projektam plānotā kopējā attiecināmā finansējuma un maksimālais attiecināmais valsts budžeta līdzfinansējuma apmērs ir 15%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 pēc Eiropas Komisijas lēmuma par vidusposma pārskatu var ierosināt no 2026.gada 1.janvāra palielināt pasākumam pieejamo kopējo finansējumu līdz pasākuma kopējam finansējuma apmēram, paredzot elastības finansējuma izmantošanu pēc 2026.gada 30.jūnija, nepārsniedzot pasākumam plānoto atbalsta intensitātes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ERAF 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kopējie 2.3.1.2.pasākuma ieviešanai nepieciešamie publiskā finansējuma (ERAF un valsts budžeta) līdzekļi 100% apmērā no 2.3.1.2.pasākumā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30"/>
              <w:gridCol w:w="392"/>
              <w:gridCol w:w="847"/>
              <w:gridCol w:w="1019"/>
              <w:gridCol w:w="945"/>
              <w:gridCol w:w="982"/>
              <w:gridCol w:w="909"/>
              <w:gridCol w:w="822"/>
              <w:tblGridChange w:id="0">
                <w:tblGrid>
                  <w:gridCol w:w="1130"/>
                  <w:gridCol w:w="392"/>
                  <w:gridCol w:w="847"/>
                  <w:gridCol w:w="1019"/>
                  <w:gridCol w:w="945"/>
                  <w:gridCol w:w="982"/>
                  <w:gridCol w:w="909"/>
                  <w:gridCol w:w="82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11 309 424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15 079 232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15 079 232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18 849 041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15 079 041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75 396 164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1 995 781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2 661 042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2 661 042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3 326 301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2 661 042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13 305 206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13 305 205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22 175 342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17 740 274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88 701 370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Pieejamais kopējais attiecināmais finansējums pa gadiem norādīts indikatīvi un var tikt precizēts pēc iepirkumu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gadiem ir norādīts indikatīvi un var tikt precizēts. PVN izmaksas ir attiecināmas. 2.3.1.2.pasākuma ietvaros pieejamais kopējais attiecināmais finansējums paredzēts darbībām, kas atbilst intervences kodam – 081: “tīra pilsētvides transporta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finansējuma saņēmējs ir tiesīgs veikt avansa un starpposmu maksājumu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piešķirtā avansu un starpposma maksājumu apmērs nevar pārsniegt 90% no projekta kopējām attiecināmajām izmaksām. Detalizētāki avansa saņemšanas nosacījumi, tai skaitā avansa apmēri un to izmaksāšanas kārtība, termiņi, kādā jāsasniedz projekta mērķis, izmantojot saņemto avansa maksājumu, tiek atrunāti vienošanās par projekta īstenošanu. Avansa maksājumu pieprasījumu grafiku jāplāno atbilstoši projekta īstenošanas finanšu plūsmai. Projektus īsteno saskaņā ar vienošanos par projekta īstenošanu ne ilgāk kā līdz 2029.gada 31.decembrim, tai skaitā finansējuma saņēmējs iesniedz sadarbības iestādei projekta noslēguma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ir attiecināmas saskaņā ar regulas Nr.2021/1060 64.panta 1.punkta “c” apakšpunkta nosacījumiem,  ja tas nav atgūstams atbilstoši normatīvajiem aktiem nodokļu politikas jomā.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18.jūlija regula (ES, Euratom) Nr.2018/1046,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2014.gada 17.jūnija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32023R2381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2023.gada 13.decembra Regula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Regula (ES) 2023/1804 par alternatīvo degvielu infrastruktūras ieviešanu un ar ko atceļ Direktīvu 2014/94/ES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izmantojot  Eiropas Komisijas elektroniskās paziņošanas sistēmu, 20 darba dienu laikā no atbalsta programmas stāšanās spēkā, izmantojot SANI2 sistēmu, nosūtīs kopsavilkuma informāciju regulas Nr.651/2014 II pielikumā noteiktajā standartizētajā formātā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pants 1.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18.jūlija regula (ES, Euratom) Nr.2018/1046,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2014.gada 17.jūnija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 punkts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18.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 punkts “s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1. un 2.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1. punkts c)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55., 61. punkts un 60.6.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27.14. un 61.3.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5.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10.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4. punkts un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2023.gada 13.decembra Regula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62.4. un 67.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2023.gada 13.septembra Regula (ES) 2023/1804 par alternatīvo degvielu infrastruktūras ieviešanu un ar ko atceļ Direktīvu 2014/94/ES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procesa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procesa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pašvaldības un pašvaldību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neietekmēs institūciju funkcijas, institucionālo struktūru un tai pieejamos cilvēkresursus. Saistībā ar noteikumu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veicinās integrētās sabiedriskā transporta sistēmas attīstību Latvijas Republikas teritorijā, nodrošinot sabiedriskā transporta un mikromobilitātes infrastruktūras un rīku pieejamību ar dzelzceļu kā transporta sistēmas “mugurkaulu”.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 atbilst Latvijas nacionāla attīstības plāna 2021.-2027. gadam definētajiem priekšnosacījumiem teritoriāli vienmērīgas sasniedzamības un kvalitatīvas, ilgtspējīgas iekšējās mobilitātes nodrošināšanai un dzelzceļa kā sabiedriskā transporta mugurkaula izmantošanai, veidojot hierarhisku transporta infrastruktūras un mobilitātes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sabiedriskā transporta mobilitātes infrastruktūrā veicinās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rezultāta tiks veicināta SEG emisiju samazināšanās Latvijas Republikas teritorijas transporta sektorā, kā arī tiks stimulēta pasažieru paradumu maiņa un pāreja uz videi draudzīgākiem transporta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attīstības rezultātā ir sagaidāms, ka palielināsies sabiedriskā transporta un mikromobilitātes infrastruktūras un rīku lietotāju skaits. Proti, attiecīgās infrastruktūras izveidošana stimulēs velosipēda izmantošanu ikdienā, kam ir būtiska loma sabiedrības sociālajā dzīvē (piem., nodrošināta mobilitāte mājsaimniecībām ar zemākiem ienākumiem, uzlabota sabiedrības veselība un ietaupīti veselības aprūpē nodalīto budžetu resursi, paaugstināta dzīves kvalitāte,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Noteikumu projektā paredzēts, ka finansējuma saņēmējs ievēro horizontālo principu "Vienlīdzība, iekļaušana, nediskriminācija un pamattiesību ievērošana" un uzkrāj datus par projekta ietekmi uz horizontālā principa rādītāju - objektu skaitu, kuros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projektu ietvaros var tikt īstenotas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nodrošināti konsultatīva rakstura pasākumi par personu ar invaliditāti vienlīdzīgu iespēju jautājumiem, tostarp piesaistīti eksperti vai nodrošinātas konsultācijas ar nevalstiskajām organizācijām, kas pārstāv personu ar invaliditāti intereses; nodrošināts, ka informācija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nodrošinātas vides piekļūstamības ekspertu konsultācijas (attiecīgi pievienojot dokumentus, piem., konsultāciju protokolus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rezultāta iedzīvotājiem un sabiedriskā transporta izmantotājiem būs iespēja izmantot sabiedriskā transporta savienojumu punktu infrastruktūru, tai skaitā tiks nodrošināta dzimumu līdztiesība, nodrošinot tiesības uz vienlīdzīgu attieksmi un iespējām pakalpojuma saņemšanā, neatkarīgi no dzimuma, rases vai etniskās izcelsmes, reliģijas vai pārliecības, invaliditātes, vecuma vai seksuālās piederības.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rezultātā samazināsies SEG un putekļu daļiņu emisijas, trokšņa piesārņojums, tiks veicināts iedzīvotāju aktīvāks dzīvesveids, kas pozitīvi ietekmēs iedzīvotāju veselības stāvokli.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investīcijām būs netieša ietekme un horizontālo principu (HP) "Vienlīdzība, iekļaušana, nediskriminācija, un pamattiesību ievērošana" un netieša ietekme uz horizontālo principu "Klimatnodrošināšana", kā arī tiešā ietekme uz "Energoefektivitāte pirmajā vietā, nodrošinot energoefektīvā apgaismojuma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īstenojot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 horizontālo principu "Vienlīdzība, iekļaušana, nediskriminācija un pamattiesību ievērošana" un uzkrāj datus par projekta ietekmi uz horizontālā principa rādītāju - objektu skaitu, kuros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uzkrāj datus par projekta ietekmi uz horizontālo principu rādītājiem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jāveic saskaņā ar saistošo normatīvo aktu un citu dokumentu noteiktajām prasībām, tostarp nodrošinot, ka informācijas saturs ir piekļūstams cilvēkiem ar funkcionāliem traucējumiem, izmantojot vairākus sensoros (redze, dzirde, tauste) kanālus.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24-TA-1234</w:t>
    </w:r>
    <w:r>
      <w:br/>
    </w:r>
    <w:r w:rsidR="00000000" w:rsidRPr="00000000" w:rsidDel="00000000">
      <w:rPr>
        <w:rtl w:val="0"/>
      </w:rPr>
      <w:t xml:space="preserve">Izdrukāts 29.07.2026. 22.20 - 1.0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24-TA-1234</w:t>
    </w:r>
    <w:r>
      <w:br/>
    </w:r>
    <w:r w:rsidR="00000000" w:rsidRPr="00000000" w:rsidDel="00000000">
      <w:rPr>
        <w:rtl w:val="0"/>
      </w:rPr>
      <w:t xml:space="preserve">Izdrukāts 29.07.2026. 22.20 - 1.0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anotācija_(ex_ante)_24-TA-1234.docx</dc:title>
</cp:coreProperties>
</file>

<file path=docProps/custom.xml><?xml version="1.0" encoding="utf-8"?>
<Properties xmlns="http://schemas.openxmlformats.org/officeDocument/2006/custom-properties" xmlns:vt="http://schemas.openxmlformats.org/officeDocument/2006/docPropsVTypes"/>
</file>