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2021. gada 30. novembra noteikumos Nr. 776 “Valsts un Eiropas Savienības atbalsta piešķiršanas kārtība atklātu projektu konkursa veidā pasākumā "Ieguldījumi materiālajos aktīvos" 2014.–2020. gada plānošanas perioda pārejas laikā 2021. un 2022. gadā” (turpmāk – noteikumi Nr. 776) noteikto projektu īstenošanas uzsākšanas un dokumentu iesniegšanas termiņu projektiem, kuru attiecināmo izmaksu summa pārsniedz 5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 notiek atbilstoši noteikumos Nr. 776 noteiktajai kārtībai, paredzot, ka tehnikas iegādes projektu uzsāk īstenot sešu mēnešu laikā, bet būvniecības projektu – deviņu mēnešu laikā pēc lēmuma spēkā stāšanās par projekta iesnieguma apstiprināšanu, kā arī projekts pilnībā jāpabeidz līdz plānošanas perioda izdevumu attiecināmības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776 ievieš Latvijas Lauku attīstības programmu 2014.-2020. gadam, ko turpina īstenot arī pārejas periodā – 2021.-2022. gadā. Piemērojot N+3 principu, Eiropas Lauksaimniecības fonda lauku attīstībai finansēto projektu izdevumi ir attiecināmi līdz 2025. gada 31. decembrim. Tas ir galīgais termiņš veikto izdevumu deklarēšanai Eiropas Komisijai. Pēdējos gados projektu īstenošanu būtiski ir ietekmējusi ekonomiskā un ģeopolitiskā situācija, kas ir aizkavējusi to īstenošanu – īpaši lielo projektu īstenošanu, kuru attiecināmo izmaksu summa pārsniedz piecus miljonus </w:t>
      </w:r>
      <w:r w:rsidR="00000000" w:rsidRPr="00000000" w:rsidDel="00000000">
        <w:rPr>
          <w:i w:val="1"/>
          <w:rtl w:val="0"/>
        </w:rPr>
        <w:t xml:space="preserve">euro</w:t>
      </w:r>
      <w:r w:rsidR="00000000" w:rsidRPr="00000000" w:rsidDel="00000000">
        <w:rPr>
          <w:rtl w:val="0"/>
        </w:rPr>
        <w:t xml:space="preserve">. Līdz ar to pastāv risks zaudēt pieejamo Eiropas Lauksaimniecības fonda lauku attīstībai finansējumu, ņemot vērā, ka lielos projektus nav iespējams pilnībā pabeigt līdz plānošanas perioda izdevumu attiecināmības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specifiskus nosacījumus tādiem projektiem, kuru attiecināmās izmaksas pārsniedz piecus miljonus </w:t>
      </w:r>
      <w:r w:rsidR="00000000" w:rsidRPr="00000000" w:rsidDel="00000000">
        <w:rPr>
          <w:i w:val="1"/>
          <w:rtl w:val="0"/>
        </w:rPr>
        <w:t xml:space="preserve">euro, </w:t>
      </w:r>
      <w:r w:rsidR="00000000" w:rsidRPr="00000000" w:rsidDel="00000000">
        <w:rPr>
          <w:rtl w:val="0"/>
        </w:rPr>
        <w:t xml:space="preserve">ņemot vērā, ka lielajiem projektiem nepieciešams ilgāks sagatavošanās un realizācijas laiks gan iepirkumu, gan būvniecības dokumentācijas sagatavošanai un saskaņošanai, kā šobrīd noteikts noteikumu Nr. 776 25. punktā, 74.9.1. apakšpunktā un 77.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gadījumā, ja projekta attiecināmo izmaksu apmērs pārsniedz 5 milj.</w:t>
      </w:r>
      <w:r w:rsidR="00000000" w:rsidRPr="00000000" w:rsidDel="00000000">
        <w:rPr>
          <w:i w:val="1"/>
          <w:rtl w:val="0"/>
        </w:rPr>
        <w:t xml:space="preserve">euro</w:t>
      </w:r>
      <w:r w:rsidR="00000000" w:rsidRPr="00000000" w:rsidDel="00000000">
        <w:rPr>
          <w:rtl w:val="0"/>
        </w:rPr>
        <w:t xml:space="preserve">, šo punktu prasības atbalsta pretendents var izpildīt 24 mēnešu laikā pēc tam, kad stājies spēkā lēmums par projekta iesnieguma apstiprināšanu. Nepieciešamības gadījumā, izvērtējot atbalsta saņēmēja iesniegto pamatojumu, Lauku atbalsta dienests var šo termiņu pagarināt.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paredzēta iespēja lielos projektus dalīt īstenošanas posmos un saņemt atbalstu, ja atsevišķā posma īstenošanas izdevumi ir apmaksāti un pēc tā īstenošanas ir radusies auditējama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 tā posms, ko īsteno pēc Eiropas Lauksaimniecības fonda lauku attīstībai 2014.-2020. gadam plānošanas perioda izdevumu attiecināmības perioda beigām, tiek finansēts no atbalsta saņēmēja paša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noteikumu Nr. 776  39.2. apakšpunktā noteikto projekta īstenošanā izmantojamo pamatizejvielu sarakstu, paredzot, ka atbalstu piešķir arī tādai lauksaimniecības produktu pārstrādei, kur gala produktā proteīna saturs pārsniedz 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kuru iesniegto projektu attiecināmo izmaksu summa pārsniedz piecus miljonus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apspriede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anotācija_(ex_ante)_24-TA-760.docx</dc:title>
</cp:coreProperties>
</file>

<file path=docProps/custom.xml><?xml version="1.0" encoding="utf-8"?>
<Properties xmlns="http://schemas.openxmlformats.org/officeDocument/2006/custom-properties" xmlns:vt="http://schemas.openxmlformats.org/officeDocument/2006/docPropsVTypes"/>
</file>