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18. aprīļa noteikumos Nr. 197 "Atbalsta piešķiršanas kārtība Eiropas Lauksaimniecības fonda lauku attīstībai platībatkarīgo un dzīvniekatkarīgo saistību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18. aprīļa noteikumos Nr. 197 "Atbalsta piešķiršanas kārtība Eiropas Lauksaimniecības fonda lauku attīstībai platībatkarīgo un dzīvniekatkarīgo saistību īstenošanai" (turpmāk – noteikumu projekts) ir sagatavots, pamatojoties uz Lauksaimniecības un lauku attīstības likuma 5. panta ceturto un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atbalstu visiem piešķir par tādu zemi, kas kārtējā gada 15. jūnijā ir konkrētā atbalsta pretendenta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intervencē "Zaļās joslas", kur aizliegts lietot sintētiskos augu aizsardzības līdzekļus, apaugumu laukmalēs un buferjoslās kārtējā sezonā var apsaimniekot vairāk nekā vienu reizi, lai dabas aizsardzības nolūkos ierobežotu sārņaugu (piemēram, vējauzu, rudzusmilgu), ekspansīvo un invazīvo sugu izplatīšanos labības un sēklkopības laukos.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27. aprīļa līdz 26. jūnijam lauksaimnieki var pieteikties lauku attīstībai platībatkarīgo un dzīvniekatkarīgo saistību īstenošanas maksājumiem Lauku atbalsta dienesta (turpmāk – LAD) Elektroniskajā pieteikšanās sistēmā (turpmāk – EPS), aizpildot atbalsta pieteikumu (turpmāk - ģeotelpiskais iesniegums), saskaņā ar Ministru kabineta 2023. gada 18. aprīļa noteikumos Nr. 197 "Atbalsta piešķiršanas kārtība Eiropas Lauksaimniecības fonda lauku attīstībai platībatkarīgo un dzīvniekatkarīgo saistību īstenošanai" (turpmāk – noteikumi Nr. 197/2023)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197/2023: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 punktā ir iekļautas atsauces uz atbalsta intervencēm, kur atbalsts tiek izmaksāts par lauksaimniecībā izmantojamām zemes platībām, kas ir atbalsta pretendenta apsaimniekošanā kārtējā gada 15. jūnijā. Šajā punktā trūkts atsauces arī uz tādām intervencēm, kur atbalsts tiek piešķirts par meža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31.3.1. un 31.3.2. apakšpunktā ir noteikts, ka intervencē "Zaļās joslas" laukmaļu un buferjoslu apsaimniekošanas režīms, t.i. ka tajās apaugumu var apsaimniekot tikai vienu reizi sezonā, bet ne biežāk. Šāds apsaimniekošanas režīms no dabas aizsardzības viedokļa nav atbilstošs, ja labības un sēklkopības laukos ir izplatījusies vējauza vai rudzusmilga, vai jebkura cita ekspansīvā vai invazīvā augu suga, jo zaļajās joslas nav atļauts lietot augu aizsardzības līdzekļus šo sugu ierobežošanai, kā tas ir ierastajā lauksaimniecības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sagatavoto noteikumu projektu ir novēršamas šādas konstatētās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pretendentiem, kas piesakās uz atbalstu intervencē "</w:t>
      </w:r>
      <w:r w:rsidR="00000000" w:rsidRPr="00000000" w:rsidDel="00000000">
        <w:rPr>
          <w:i w:val="1"/>
          <w:rtl w:val="0"/>
        </w:rPr>
        <w:t xml:space="preserve">Natura 2000</w:t>
      </w:r>
      <w:r w:rsidR="00000000" w:rsidRPr="00000000" w:rsidDel="00000000">
        <w:rPr>
          <w:rtl w:val="0"/>
        </w:rPr>
        <w:t xml:space="preserve"> maksājums mežiem" (intervences kods – LA12.) un aktivitātē "Kompensācijas maksājums par </w:t>
      </w:r>
      <w:r w:rsidR="00000000" w:rsidRPr="00000000" w:rsidDel="00000000">
        <w:rPr>
          <w:i w:val="1"/>
          <w:rtl w:val="0"/>
        </w:rPr>
        <w:t xml:space="preserve">Natura 2000</w:t>
      </w:r>
      <w:r w:rsidR="00000000" w:rsidRPr="00000000" w:rsidDel="00000000">
        <w:rPr>
          <w:rtl w:val="0"/>
        </w:rPr>
        <w:t xml:space="preserve"> meža teritorijām" (pasākuma kods – M12.2.), nav noteikts konkrēts datums uz kuru apsaimniekošanā esošajai zemei ir jābūt tā īpašumā vai lietošanā. Ar šiem grozījumiem tiks noteikts tāds pats datums, kā citu intervenču atbalsta saņēmējiem, - kārtējā gada 15. 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dabas aizsardzības mērķus, atbalsta pretendentiem, kas piesakās uz atbalstu intervencē "Zaļās joslas" (intervences kods – LA10.1.), ierīkojot laukmales vai buferjoslas, un neizmantojot sintētiskos augu aizsardzības līdzekļus apsaimnieko labības vai sēklkopības laukus, kuros ir izplatījušās vējauzas un rudzusmilgas, kā arī citas ekspansīvās un invazīvās sugas (piemēram, Kanādas zeltslotiņa, Sosnovska latvānis u.c.) ir jānosaka, ka tādas zaļās joslas kārtējā sezonā var apsaimniekot biežāk nekā vienu reizi, tādējādi mehāniski ierobežojot šo augu nekontrolētu izplatību. Noteikumos Nr. 197/2023 noteiktā rīcība laukmales un buferjoslas apsaimniekošanai intervencē "Zaļās joslas" ir saistītas ar atbalsta maksājumu nosacījumu izpildi, administrēšanu, uzraudzību un kontroli. Noteikumu projektā iekļautie precizējumi, kas paredz, ka apaugumu laukmalēs var smalcināt vai nopļaut, bet buferjoslās nopļaut un novākt vairākas reizes sezonā pēc nepieciešamības, no dabas aizsardzības viedokļa ir atbalstāmi, jo veicinās sārņaugu (piemēram, vējauzu, rudzusmilgu), ekspansīvo un invazīvo sugu ierobežošanu.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punktā esošo intervenču </w:t>
      </w:r>
      <w:r w:rsidR="00000000" w:rsidRPr="00000000" w:rsidDel="00000000">
        <w:rPr>
          <w:b w:val="1"/>
          <w:rtl w:val="0"/>
        </w:rPr>
        <w:t xml:space="preserve">saraksts ir papildināts </w:t>
      </w:r>
      <w:r w:rsidR="00000000" w:rsidRPr="00000000" w:rsidDel="00000000">
        <w:rPr>
          <w:rtl w:val="0"/>
        </w:rPr>
        <w:t xml:space="preserve">ar divām jaunām intervencēm un līdz ar to vienuviet ir noteikts, kādās intervencēs atbalsts var tikt piešķirts tikai par tādu pretendenta apsaimniekošanā esošu zemi, kas ir tā īpašumā vai lietošanā kārtējā gada 15. jūnijā. Tie ir šādi atbalsta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"Zaļās joslas" (intervences kods – LA10.1.);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"Vidi saudzējošā dārzkopība" (intervences kods – LA10.2.);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"Zālāju biotopu apsaimniekošana" (intervences kods – LA10.5.);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"Bioloģiskā lauksaimniecība" (intervences kods – LA11.);</w:t>
      </w:r>
      <w:r w:rsidR="00000000" w:rsidRPr="00000000" w:rsidDel="00000000">
        <w:rPr>
          <w:rtl w:val="0"/>
        </w:rPr>
        <w:t xml:space="preserve">* </w:t>
      </w:r>
      <w:r w:rsidR="00000000" w:rsidRPr="00000000" w:rsidDel="00000000">
        <w:rPr>
          <w:b w:val="1"/>
          <w:rtl w:val="0"/>
        </w:rPr>
        <w:t xml:space="preserve">"</w:t>
      </w:r>
      <w:r w:rsidR="00000000" w:rsidRPr="00000000" w:rsidDel="00000000">
        <w:rPr>
          <w:b w:val="1"/>
          <w:i w:val="1"/>
          <w:rtl w:val="0"/>
        </w:rPr>
        <w:t xml:space="preserve">Natura 2000</w:t>
      </w:r>
      <w:r w:rsidR="00000000" w:rsidRPr="00000000" w:rsidDel="00000000">
        <w:rPr>
          <w:b w:val="1"/>
          <w:rtl w:val="0"/>
        </w:rPr>
        <w:t xml:space="preserve"> maksājums mežiem" (intervences kods – LA12.);</w:t>
      </w:r>
      <w:r w:rsidR="00000000" w:rsidRPr="00000000" w:rsidDel="00000000">
        <w:rPr>
          <w:b w:val="1"/>
          <w:rtl w:val="0"/>
        </w:rPr>
        <w:t xml:space="preserve">* "Kompensācijas maksājums par </w:t>
      </w:r>
      <w:r w:rsidR="00000000" w:rsidRPr="00000000" w:rsidDel="00000000">
        <w:rPr>
          <w:b w:val="1"/>
          <w:i w:val="1"/>
          <w:rtl w:val="0"/>
        </w:rPr>
        <w:t xml:space="preserve">Natura 2000 </w:t>
      </w:r>
      <w:r w:rsidR="00000000" w:rsidRPr="00000000" w:rsidDel="00000000">
        <w:rPr>
          <w:b w:val="1"/>
          <w:rtl w:val="0"/>
        </w:rPr>
        <w:t xml:space="preserve">meža teritorijām" (pasākuma kods – M12.2.);</w:t>
      </w:r>
      <w:r w:rsidR="00000000" w:rsidRPr="00000000" w:rsidDel="00000000">
        <w:rPr>
          <w:rtl w:val="0"/>
        </w:rPr>
        <w:t xml:space="preserve">2) 2. un 3. punktā ir noteikta rīcība, </w:t>
      </w:r>
      <w:r w:rsidR="00000000" w:rsidRPr="00000000" w:rsidDel="00000000">
        <w:rPr>
          <w:b w:val="1"/>
          <w:rtl w:val="0"/>
        </w:rPr>
        <w:t xml:space="preserve">kā apsaimniekojamas laukmales un buferjoslas, tostarp situācijās, kad tajās ar apauguma apsaimniekošanas režīma palīdzību ir jāapkaro vējauzu un rudzusmilgu vai citu ekspansīvo un invazīvo sugu izplatība</w:t>
      </w:r>
      <w:r w:rsidR="00000000" w:rsidRPr="00000000" w:rsidDel="00000000">
        <w:rPr>
          <w:rtl w:val="0"/>
        </w:rPr>
        <w:t xml:space="preserve">, neizmantojot tradicionālajā praksē atļautos sintētiskos augu aizsardzības līdzekļus. Zaļo joslu apsaimniekošana un kopšana nav ražošana, tādēļ četrus metrus plato laukmali un astoņus metrus plato buferjoslu vienu reizi sezonā līdz 15. septembrim var smalcināt vai nopļaut un atstāt vai arī atstāt tajā apaugumu uz ilgāku laiku, nodrošinot, ka tajās visu saistību periodu nav koku un krūmu atvašu, kas vecākas par vienu gadu, un neveidojas kūla. Lai ierobežotu tādu sārņaugu kā vējauzas un rudzusmilgas, kā arī invazīvo sugu izplatību labības un sēklkopības laukos, kuros tās ir konstatētas, apaugumu var smalcināt vai nopļaut vairākas reizes sezonā pēc nepieciešamības, lai izpildītu atbalsttiesīgās platības prasības. Citās platībās, tostarp aramzemē sēto zālāju laukos, ierīkotās laukmales un buferjoslas nav atļauts smalcināt vai nopļaut biežāk kā vienu reizi sezonā un laukmales segumam ir acīmredzami jāatšķiras no pamatlauka. Tas panākams gan ar atšķirīgu seguma sastāvu, gan – ieteicams – ar atšķirīgu pļaušanas  (apsaimniekošanas)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kas piesakās intervences LA10.1. Zaļās joslas atbalstam, un meža zemes īpašnieki vai lietotāji, kuru meža teritorijas atrodas Natura 2000 teritorijā, ja tajās ir noteikti saimnieciskās darbības ierobežojumi vai aizliegumi, un piesakās intervences LA12 vai M12 aktivitātes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Lauksaimniecības fonda lauku attīstībai platībatkarīgo un dzīvniekatkarīgo atbalsta maksājumu piešķiršana pretendentiem, kuri atbildīs atbalsta saņemšanas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kas piesakās intervences LA10.1. Zaļās joslas atbalstam, un meža zemes īpašnieki vai lietotāji, kuru meža teritorijas atrodas Natura 2000 teritorijā, ja tajās ir noteikti saimnieciskās darbības ierobežojumi vai aizliegumi, un piesakās intervences LA12 vai M12 aktivitātes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Lauksaimniecības fonda lauku attīstībai platībatkarīgo un dzīvniekatkarīgo atbalsta maksājumu piešķiršana pretendentiem, kuri atbildīs atbalsta saņemšanas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komersantu un saimnieciskās darbības veicēju attīstību un palielinās to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komersantu un saimnieciskās darbības veicēju attīstību un palielinās to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komersantu un saimnieciskās darbības veicēju attīstību un palielinās to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komersantu un saimnieciskās darbības veicēju attīstību un palielinās to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komersantu un saimnieciskās darbības veicēju attīstību un palielinās to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tika publicēts publiskajai apspriešanai no 2023. gada 9. maija līdz 23. maijam. Saite pieejama šeit: https://tapportals.mk.gov.lv/legal_acts/a4a3cfca-b0a9-4150-8be6-f9a456187714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tika nodrošināta atbilstoši spēkā esošajiem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Biškopības biedrība" 2023. gada 5. maijā un  7. jūnijā sniegtajos atzinumos neatbalstīja Zemkopības ministrijas izstrādāto noteikumu projektu, jo vēlējās paplašināt tā tvērumu, iekļaujot izmaiņas atbalsta intervencē LA10.4. "Biškopības vienību apsaimniekošana apputeksnēšanas vajadzībām", </w:t>
      </w:r>
      <w:r w:rsidR="00000000" w:rsidRPr="00000000" w:rsidDel="00000000">
        <w:rPr>
          <w:u w:val="single"/>
          <w:rtl w:val="0"/>
        </w:rPr>
        <w:t xml:space="preserve">kas būtu pretrunā ar Eiropas Komisijas apstiprināto </w:t>
      </w:r>
      <w:r w:rsidR="00000000" w:rsidRPr="00000000" w:rsidDel="00000000">
        <w:rPr>
          <w:rtl w:val="0"/>
        </w:rPr>
        <w:t xml:space="preserve">Latvijas Kopējās lauksaimniecības politikas stratēģisko plānu 2023.-2027. gadam (pieejams šeit: </w:t>
      </w:r>
      <w:r w:rsidR="00000000" w:rsidRPr="00000000" w:rsidDel="00000000">
        <w:rPr>
          <w:i w:val="1"/>
          <w:rtl w:val="0"/>
        </w:rPr>
        <w:t xml:space="preserve">https://www.zm.gov.lv/lv/latvijas-kopejas-lauksaimniecibas-politikas-strategiskais-plans-2023-2027gadam-0</w:t>
      </w:r>
      <w:r w:rsidR="00000000" w:rsidRPr="00000000" w:rsidDel="00000000">
        <w:rPr>
          <w:rtl w:val="0"/>
        </w:rPr>
        <w:t xml:space="preserve">), kur 660. lapaspusē pie intervences LA10.4. sadaļā "Cita būtiska informācija" ir uzsvērta norāde: "To, ka konkrētajās platībās tiek veikta bišu saimju ganīšana un apputeksnēšanas pakalpojumu sniegšana apstiprinās īpašumtiesības vai cita lauksaimnieka piekrišana, atbilstoši valsts tiesību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ministrija uzskata, ka noteikumu projekts 23-TA-1155 nav papildināms ar Latvijas Biškopības biedrības priekšlikumu.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maksājumi tiek piešķirti par paaugstinātu prasību izpildi lauksaimniecībā un mežsaimniecībā, tai kopumā sniedzot tiešu ieguldījumu negatīvās ietekmes uz vidi mazināšanā, t.i., augsnes un ūdens piesārņojuma mazināšanā un bioloģiskās daudzveidības saglabāšanā, kā arī augu aizsardzības līdzekļu izmantošanas ierobežošanā.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23-TA-1155</w:t>
    </w:r>
    <w:r>
      <w:br/>
    </w:r>
    <w:r w:rsidR="00000000" w:rsidRPr="00000000" w:rsidDel="00000000">
      <w:rPr>
        <w:rtl w:val="0"/>
      </w:rPr>
      <w:t xml:space="preserve">Izdrukāts 29.07.2026. 21.37 - 4.0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23-TA-1155</w:t>
    </w:r>
    <w:r>
      <w:br/>
    </w:r>
    <w:r w:rsidR="00000000" w:rsidRPr="00000000" w:rsidDel="00000000">
      <w:rPr>
        <w:rtl w:val="0"/>
      </w:rPr>
      <w:t xml:space="preserve">Izdrukāts 29.07.2026. 21.37 - 4.0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anotācija_(ex_ante)_23-TA-1155.docx</dc:title>
</cp:coreProperties>
</file>

<file path=docProps/custom.xml><?xml version="1.0" encoding="utf-8"?>
<Properties xmlns="http://schemas.openxmlformats.org/officeDocument/2006/custom-properties" xmlns:vt="http://schemas.openxmlformats.org/officeDocument/2006/docPropsVTypes"/>
</file>