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"Ierobežoto radiofrekvenču joslu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(turpmāk – ESL) 45.panta pirmā daļa, kas paredz, ka Ministru kabinets nosaka ierobežotas radiofrekvenču joslas.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ierobežotām radiofrekvenču joslām” (turpmāk - Noteikumu projekts) ir izstrādāts, pamatojoties uz ESL (Saeimā pieņemts 2022. gada 14. jūlijā, spēkā stāšanās datums ‑ 2022. gada 29. jūlijs), kas izstrādāts, lai ieviestu Eiropas Parlamenta un Padomes 2018.gada 11.decembra direktīvā Nr.2018/1972/ES par Eiropas Elektronisko sakaru kodeksa izveidi (turpmāk – Direktīva 2018/1972) noteiktos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radiofrekvenču spektra joslas, kuru efektīvas izmantošanas labad ir nepieciešams ierobežot radiofrekvenču spektra lietošanas tiesību piešķiršanu komercdarbībai elektronisko sakaru nozarē.  Joslu lietderīgākai izmantošanai tiek noteikts konkurss vai izsole, ko nodrošina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ESL pārejas noteikumu 2. punkta 6)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Oficiālo publikāciju un tiesiskās informācijas likuma 9. panta piekto daļu, stājoties spēkā ESL, zaudēs spēku Ministru kabineta 2010.gada 16.februāra noteikumi Nr.143 “Noteikumi par radiofrekvenču spektra joslām, kuru efektīvas izmantošanas labad ir nepieciešams ierobežot radiofrekvenču spektra lietošanas tiesību piešķiršanu komercdarbībai elektronisko sakaru nozarē” (turpmāk – Noteikumi Nr. 143), kas izdoti uz ESL (pieņemts 2004. gada 28. oktobrī, spēkā līdz 2022. gada 29. jūlijam)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ESL pārejas noteikumu 2. punkta 6) apakšpunkta izriet, ka Noteikumi Nr. 143, ciktāl tie nav pretrunā ar ESL, piemērojami līdz Ministru kabineta noteikumu “Noteikumi par ierobežotām radiofrekvenču joslām” spēkā stāšanās dienai, bet ne ilgāk kā līdz 2022. gada 30. septembrim. Attiecīgi, pamatojoties uz ESL 45. panta pirmo daļu, nepieciešams izdot Ministru kabineta noteikumus “Noteikumi par ierobežotām radiofrekvenču joslām”.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143 3. un 4. punkts kļuvis neaktuāls saistībā ar Noteikumu Nr. 143 2.9. un 2.13. apakšpunkta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josla: 791,0–821,0 MHz/832,0–862,0 MHz, bija spēkā līdz 2015.gada 30.jūnijam, saskaņā ar Ministru kabineta 2009. gada 6. oktobra noteikumu Nr.1151 “Noteikumi par radiofrekvenču spektra joslu sadalījumu radiosakaru veidiem un iedalījumu radiosakaru sistēmām, kā arī par radiofrekvenču spektra joslu izmantošanas vispārīgajiem nosacījumiem (Nacionālais radiofrekvenču plāns)” (turpmāk - Nacionālais radiofrekvenču plāns) noslēguma jautājumu 36.punktu.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703,0–733,0 MHz/738,0–788,0 MHz joslas atbrīvošanai no zemes ciparu televīzijas apraides sistēmu vajadzībām, ir noslēdzies, un radiofrekvenču spektra joslas no 2022. gada 1. janvāra ir izmantojamas publisko mobilo elektronisko sakaru tīklu pakalpojumu nodrošināšanai. Saskaņā ar Nacionālā radiofrekvenču plāna noslēguma jautājumu 51., 52., 53., 54. punktu, radiofrekvenču spektra joslas iedalījums zemes sistēmām bezvadu platjoslas elektronisko sakaru pakalpojumu/IMT nodrošināšanai stājas spēkā no 2022. gada 1. janvāra. Laikā no 2022. gada 1. janvāra līdz 2022. gada 30. jūnijam noteikts pārejas periods televīzijas apraides sistēmu raidošo tīklu pārkārtošanai 694 – 790 MHz radiofrekvenču spektra joslas pilnīgai atbrīvošanai 2022. gada 30. jūnijā, kas ir noslēdzies.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Noteikumu Nr. 143 3., 4. un 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resursu pārvaldes politikas īstenošanā līdzdarbojas Radiofrekvenču spektra resursu izmantošanas koordinācijas darba grupa, kuras mērķis ir sekmēt resursu izmantošanu, tādējādi tiek saskaņoti valsts pārvaldes iestāžu, sabiedrisko un profesionālo organizāciju viedokļi. Radiofrekvenču spektra resursu izmantošanas koordinācijas darba grupā iesaistītas valsts un nevalstiskās institūcijas, un darbojas saskaņā ar Vides aizsardzības un reģionālās attīstības ministrijas 2021. gada 22. novembra rīkojumu Nr. 1-2/158 “Par Vides aizsardzības un reģionālās attīstības ministrijas radiofrekvenču spektra resursu izmantošanas koordinācijas darba grupas izveidi”.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22-TA-2225</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22-TA-2225</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anotācija_(ex_ante)_22-TA-2225.docx</dc:title>
</cp:coreProperties>
</file>

<file path=docProps/custom.xml><?xml version="1.0" encoding="utf-8"?>
<Properties xmlns="http://schemas.openxmlformats.org/officeDocument/2006/custom-properties" xmlns:vt="http://schemas.openxmlformats.org/officeDocument/2006/docPropsVTypes"/>
</file>