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Nolīgumu par Enerģētikas hartas nolīguma interpretāciju un piemērošanu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25. jūnijā Latvija un vēl 25 ES dalībvalsts parafēja Nolīgumu par Enerģētikas hartas nolīguma interpretāciju un piemērošanu (turpmāk - Nolīgums par EHN interpretāciju) un parakstīja Deklarāciju par juridiskām sekām, kas izriet no tiesas sprieduma lietā </w:t>
      </w:r>
      <w:r w:rsidR="00000000" w:rsidRPr="00000000" w:rsidDel="00000000">
        <w:rPr>
          <w:i w:val="1"/>
          <w:rtl w:val="0"/>
        </w:rPr>
        <w:t xml:space="preserve">Komstroy</w:t>
      </w:r>
      <w:r w:rsidR="00000000" w:rsidRPr="00000000" w:rsidDel="00000000">
        <w:rPr>
          <w:rtl w:val="0"/>
        </w:rPr>
        <w:t xml:space="preserve">, un kopīgo izpratni par to, ka Enerģētikas hartas nolīguma 26. pants nav piemērojams kā pamats Eiropas Savienības (ES) iekšējiem šķīrējtiesas procesiem (turpmāk -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Nolīguma par EHN interpretāciju parafēšanas un parakstīšanas atteicās Ungārija.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atbalsts Nolīgumam par EHN interpretāciju ir nostiprināts Nacionālajā pozīcijā par Nolīgumu par Enerģētikas hartas interpretāciju un piemērošanu starp Eiropas Savienību, Eiropas Atomenerģijas kopienu un to dalībvalstīm un to pavadošo  Deklarāciju par juridiskām sekām, kas izriet no tiesas sprieduma lietā </w:t>
      </w:r>
      <w:r w:rsidR="00000000" w:rsidRPr="00000000" w:rsidDel="00000000">
        <w:rPr>
          <w:i w:val="1"/>
          <w:rtl w:val="0"/>
        </w:rPr>
        <w:t xml:space="preserve">Komstroy</w:t>
      </w:r>
      <w:r w:rsidR="00000000" w:rsidRPr="00000000" w:rsidDel="00000000">
        <w:rPr>
          <w:rtl w:val="0"/>
        </w:rPr>
        <w:t xml:space="preserve">, un kopīgo izpratni par to, ka Enerģētikas hartas nolīguma 26. pants nav piemērojams kā pamats Eiropas Savienības (ES) iekšējiem šķīrējtiesas procesiem, kas tika izskatīta un pieņemta Ministru kabineta 2024. gada 18. jūnija sēdē (protokola Nr. 25 punkts 75. §). </w:t>
      </w:r>
      <w:r w:rsidR="00000000" w:rsidRPr="00000000" w:rsidDel="00000000">
        <w:rPr>
          <w:rtl w:val="0"/>
        </w:rPr>
        <w:t xml:space="preserve"> </w:t>
      </w:r>
      <w:r w:rsidR="00000000" w:rsidRPr="00000000" w:rsidDel="00000000">
        <w:rPr>
          <w:rtl w:val="0"/>
        </w:rPr>
        <w:t xml:space="preserve">2025. gada 10. septembrī tika pieņemts Eiropas Parlamenta un Padomes lēmums (ES) 2025/1904 par to, lai Savienība apstiprinātu Nolīgumu par Enerģētikas hartas nolīguma interpretāciju un piemērošanu. </w:t>
      </w:r>
      <w:r w:rsidR="00000000" w:rsidRPr="00000000" w:rsidDel="00000000">
        <w:rPr>
          <w:rtl w:val="0"/>
        </w:rPr>
        <w:t xml:space="preserve">Saskaņā ar Eiropas Komisijas (Komisija) sniegto informāciju Nolīguma par EHN interpretāciju parakstīšana plānota 2025. gada decembra sākumā.  </w:t>
      </w:r>
      <w:r w:rsidR="00000000" w:rsidRPr="00000000" w:rsidDel="00000000">
        <w:rPr>
          <w:rtl w:val="0"/>
        </w:rPr>
        <w:t xml:space="preserve">Nolīgums par EHN interpretāciju tika parakstīts 2026. gada 18. februārī Briselē. </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apstiprināt Nolīgumu par EHN interpretāciju.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hartas nolīgums (turpmāk - EHN) ir daudzpusējs starptautisko tiesību instruments sadarbībai enerģētikas jomā, kuras deklarētais mērķis ir veicināt energoapgādes drošību, veidot atvērtāku un konkurētspējīgāku enerģijas tirgu, ievērojot ilgtspējīgas attīstības un suverenitātes principus attiecībā uz enerģijas resursiem. Vairums no EHN normām attiecas uz ieguldījumu aizsardzību un strīdu izšķiršanu.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EHN 26. pants nosaka kārtību, kādā tiek izšķirti strīdi starp ieguldītāju un līgumslēdzējpusi. Saskaņā ar šo pantu strīds starp ieguldītāju un līgumslēdzējpusi var tikt izskatīts: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iesaistītās līgumslēdzējpuses tiesā vai administratīvajā tribunālā;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jebkuru strīda atrisināšanas veidu, par kuru puses iepriekš vienojušās;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starptautiskā šķīrējtiesā vai samierinātājtiesā (26. panta 2. punkta c) 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(turpmāk - EST) 2021. gada 2. septembra spriedumā </w:t>
      </w:r>
      <w:r w:rsidR="00000000" w:rsidRPr="00000000" w:rsidDel="00000000">
        <w:rPr>
          <w:i w:val="1"/>
          <w:rtl w:val="0"/>
        </w:rPr>
        <w:t xml:space="preserve">Komstroy</w:t>
      </w:r>
      <w:r w:rsidR="00000000" w:rsidRPr="00000000" w:rsidDel="00000000">
        <w:rPr>
          <w:rtl w:val="0"/>
        </w:rPr>
        <w:t xml:space="preserve"> lietā secināja, ka EHN 26. panta 2. punkta c) apakšpunkts ir jāinterpretē tādejādi, ka tas nav piemērojams strīdiem starp ES dalībvalsti un citas ES dalībvalsts ieguldītāju attiecībā uz viņa ieguldījumiem strīdā iesaistītajā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Komstroy</w:t>
      </w:r>
      <w:r w:rsidR="00000000" w:rsidRPr="00000000" w:rsidDel="00000000">
        <w:rPr>
          <w:rtl w:val="0"/>
        </w:rPr>
        <w:t xml:space="preserve"> spriedumā EST sekoja tai pašai argumentācijai, ko tā jau iepriekš bija paudusi </w:t>
      </w:r>
      <w:r w:rsidR="00000000" w:rsidRPr="00000000" w:rsidDel="00000000">
        <w:rPr>
          <w:i w:val="1"/>
          <w:rtl w:val="0"/>
        </w:rPr>
        <w:t xml:space="preserve">Achmea</w:t>
      </w:r>
      <w:r w:rsidR="00000000" w:rsidRPr="00000000" w:rsidDel="00000000">
        <w:rPr>
          <w:rtl w:val="0"/>
        </w:rPr>
        <w:t xml:space="preserve"> lietā. Proti, EST atkārtoti apstiprināja, ka ES dalībvalstu noslēgtajos ieguldījumu aizsardzības līgumos paredzētais mehānisms par strīdu izšķiršanu starptautiskās šķīrējtiesās ir pretrunā Līguma par Eiropas Savienības darbību (turpmāk - LESD) 267. un 344. pantam. Strīdos starp ES dalībvalsti un citas ES dalībvalsts ieguldītāju, kur ieguldītājs vēršas pret valsti, starptautisku šķītējtiesu mehānismi nav piemērojami, jo tie atrodas ārpus ES tiesu sistēmas. Ieguldījumu aizsardzības līgumu klauzulas par strīda risināšanu starptautiskās šķīrējtiesās zaudē spēku kā nesaderīgas ar ES tiesībām no brīža, kad abas līgumslēdzējas puses kļūst par ES dalībvalstīm. </w:t>
      </w:r>
      <w:r w:rsidR="00000000" w:rsidRPr="00000000" w:rsidDel="00000000">
        <w:rPr>
          <w:rtl w:val="0"/>
        </w:rPr>
        <w:t xml:space="preserve">Līdz ar to šķīrējtiesas tribunālam, kas izveidots pēc ieguldītāja prasības, pamatojoties uz ieguldījumu aizsardzības līgumu starp ES dalībvalstīm, nav jurisdikcijas lietas izskatīšanai, jo nav spēkā esošas ES dalībvalsts piekrišanas pakļaut sevi šāda veida strīdu izšķiršanas mehānismam. </w:t>
      </w:r>
      <w:r w:rsidR="00000000" w:rsidRPr="00000000" w:rsidDel="00000000">
        <w:rPr>
          <w:rtl w:val="0"/>
        </w:rPr>
        <w:t xml:space="preserve">Starptautiskas šķīrējtiesas, savukārt, savā praksē ir ignorējušas EST atziņu, ka EHN nav piemērojams, lai izskatītu strīdus starp ES dalībvalsti un citas ES dalībvalsts ieguldītāju. Tas ir novedis pie šķīrējtiesu nolēmumiem, kas ir pretrunā ES tiesībām, jo īpaši LESD 267. un 344. pantam. Līdz ar to no ES tiesību viedokļa šādi nolēmumi nevar radīt juridiskas sekas un būt par pamatu atlīdzinājuma (kompensācijas) izmaksāšanai ES dalībvalsts ieguldītājam. Taču ES dalībvalstīm un Komisijai ir ierobežotas iespējas panākt, ka trešo valstu (ASV, Austrālijas, Apvienotās Karalistes, Izraēlas, Brazīlijas) tiesu institūcijas atsakās izpildīt starptautisko šķīrējtiesu nolēmumus, kas no ES dalībvalstīm piespriež izmaksāt atlīdzinājumu ES dalībvalstu ieguldītājiem.   </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par EHN interpretāciju izstrādāts Komisijas vadībā ar mērķi novērst kolīziju starp ES tiesībām un EHN kā starptautisko publisko tiesību un instrumentu. Nolīgumā par EHN interpretāciju ES un tās dalībvalstis apstiprina kopīgo izpratni, ka tām ir saistoša EST lietā </w:t>
      </w:r>
      <w:r w:rsidR="00000000" w:rsidRPr="00000000" w:rsidDel="00000000">
        <w:rPr>
          <w:i w:val="1"/>
          <w:rtl w:val="0"/>
        </w:rPr>
        <w:t xml:space="preserve">Komstroy</w:t>
      </w:r>
      <w:r w:rsidR="00000000" w:rsidRPr="00000000" w:rsidDel="00000000">
        <w:rPr>
          <w:rtl w:val="0"/>
        </w:rPr>
        <w:t xml:space="preserve"> paustā atziņa, ka EHN 26. pants par strīdu izšķiršanu starptautiskā šķīrējtiesā nevar un nekad nevarēja kalpot par juridisko pamatu ES iekšējiem šķīrējtiesu procesiem starp ES dalībvalsti un citas ES dalībvalsts ieguldītāju.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par EHN interpretāciju izstrādāšanu iniciēja un koordinēja Komisija. Komisijas pilns apsvērumu izklāsts ir atrodams tās 2022. gada 5. oktobra paziņojumā Eiropas Parlamentam, Padomei un dalībvalstīm par nolīgumu starp dalībvalstīm, Eiropas Savienību un Eiropas Atomenerģijas kopienu par Enerģētikas hartas nolīguma interpretāciju (COM (2022)523)</w:t>
      </w:r>
      <w:r w:rsidR="00000000" w:rsidRPr="00000000" w:rsidDel="00000000">
        <w:rPr>
          <w:vertAlign w:val="superscript"/>
          <w:rtl w:val="0"/>
        </w:rPr>
        <w:t xml:space="preserve">1</w:t>
      </w:r>
      <w:r w:rsidR="00000000" w:rsidRPr="00000000" w:rsidDel="00000000">
        <w:rPr>
          <w:rtl w:val="0"/>
        </w:rPr>
        <w:t xml:space="preserve">. Paziņojumam tika pievienots Komisijas piedāvātais šāda nolīguma teksta projekts kā sākuma punkts turpmākām diskusijām.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oktobrī Komisija izveidoja Īpašo darba grupu par </w:t>
      </w:r>
      <w:r w:rsidR="00000000" w:rsidRPr="00000000" w:rsidDel="00000000">
        <w:rPr>
          <w:i w:val="1"/>
          <w:rtl w:val="0"/>
        </w:rPr>
        <w:t xml:space="preserve">inter se </w:t>
      </w:r>
      <w:r w:rsidR="00000000" w:rsidRPr="00000000" w:rsidDel="00000000">
        <w:rPr>
          <w:rtl w:val="0"/>
        </w:rPr>
        <w:t xml:space="preserve">nolīgumu par Enerģētikas hartas nolīgumu interpretāciju kā platformu šīm diskusijām. Darba grupai pēc deviņām sanāksmēm izdevās vienoties par Nolīguma par EHN interpretāciju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preambula izklāsta nolīguma vēsturi un kontekstu, EST paustās atziņas par ES tiesību interpretāciju, kā arī atzīst starptautisko šķīrējtiesu nevēlēšanos pieņemt šo argumentāciju, turpinot sniegt ES investoriem </w:t>
      </w:r>
      <w:r w:rsidR="00000000" w:rsidRPr="00000000" w:rsidDel="00000000">
        <w:rPr>
          <w:i w:val="1"/>
          <w:rtl w:val="0"/>
        </w:rPr>
        <w:t xml:space="preserve">forum conveniens</w:t>
      </w:r>
      <w:r w:rsidR="00000000" w:rsidRPr="00000000" w:rsidDel="00000000">
        <w:rPr>
          <w:rtl w:val="0"/>
        </w:rPr>
        <w:t xml:space="preserve">, kur ES dalībvalstu ieguldītājiem celt prasības pret ES dalībvalstīm, lai sev piedzītu naudas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par EHN interpretāciju ietver tikai vienu normu, kas saistīta ar līgumslēdzēju pušu tiesībām un saistībām pēc būtības. Proti, tā 2. pants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līgumslēdzējas puses lielākai noteiktībai atkārtoti apstiprina to kopīgo izpratni, ka EHN 26. pants nevar un nekad nevarēja kalpot par juridisko pamatu ES iekšējiem šķīrējtiesu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līgumslēdzējas puses lielākai noteiktībai atkārtoti apstiprina, ka, ievērojot iepriekšējā punktā pausto atziņu attiecībā uz EHN 26. pantu, uz iekšējiem šķīrējtiesu procesiem nevar attiecināt arī EHN 47. panta 3. punktā ietverto turpināmības klauzulu (</w:t>
      </w:r>
      <w:r w:rsidR="00000000" w:rsidRPr="00000000" w:rsidDel="00000000">
        <w:rPr>
          <w:i w:val="1"/>
          <w:rtl w:val="0"/>
        </w:rPr>
        <w:t xml:space="preserve">sunset clause</w:t>
      </w:r>
      <w:r w:rsidR="00000000" w:rsidRPr="00000000" w:rsidDel="00000000">
        <w:rPr>
          <w:rtl w:val="0"/>
        </w:rPr>
        <w:t xml:space="preserve">), kas līgumslēdzējai pusei, kura izstājas no EHN, piemēro šī nolīguma saistības vēl 20 gadus pēc izstāšanās.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Nolīguma par EHN interpretāciju normas ir 'Nobeiguma noteikumi', kas nosaka tā apstiprināšanas, deponēšanas un spēkā stāšanās noteikumus. Saskaņā ar tā 6. pantu "šis nolīgums stājas spēkā, kad pagājušas 30 kalendārās dienas, kad depozitārijs saņem otro ratifikācijas, apstiprināšanas vai pieņemšanas instrumentu".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konceptuāli atbalstīja Nolīgumā par EHN interpretāciju pausto atziņu, ka EHN nav piemērojams ES iekšējiem šķīrējtiesas procesiem jau 2019. gadā, kad parakstīja Dalībvalstu valdību pārstāvju deklarāciju par EST </w:t>
      </w:r>
      <w:r w:rsidR="00000000" w:rsidRPr="00000000" w:rsidDel="00000000">
        <w:rPr>
          <w:i w:val="1"/>
          <w:rtl w:val="0"/>
        </w:rPr>
        <w:t xml:space="preserve">Achmea</w:t>
      </w:r>
      <w:r w:rsidR="00000000" w:rsidRPr="00000000" w:rsidDel="00000000">
        <w:rPr>
          <w:rtl w:val="0"/>
        </w:rPr>
        <w:t xml:space="preserve"> nolēmuma tiesiskajām sekām un investīciju aizsardzību ES (</w:t>
      </w:r>
      <w:r w:rsidR="00000000" w:rsidRPr="00000000" w:rsidDel="00000000">
        <w:rPr>
          <w:i w:val="1"/>
          <w:rtl w:val="0"/>
        </w:rPr>
        <w:t xml:space="preserve">Declaration of the Representatives of the Governments of the Member States of 15 January 2019 on the Legal Consequences of the Judgement of the Court of Justice in Achmea and on Investment Protection in the European Union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iecerēts kā papildus juridisks instruments, ko ES dalībvalsts var izmantot savā argumentācijā starptautiskās šķīrējtiesās, kad pret to ar prasību vēršas citas ES dalībvalsts ieguldītājs.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vienlaikus jāatzīmē, ka lēmums ņemt vai neņemt vērā Nolīgumu par EHN interpretāciju ir pašu starptautisko šķīrējtiesu ziņā. Tās, atrazdamies ārpus ES tiesu un tiesību sistēmas, var arī neņemt vērā šo tiesību instrumentu, norādot, ka tas nav uzskatāms par EHN grozījumu atbilstoši Vīnes konvencijas par starptautisko līgumu tiesībām izpratnei.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novērstu, ka ES dalībvalsti starptautiskā šķīrējtiesā var iesūdzēt citas ES dalībvalsts ieguldītājs, ir jāapstiprina EHN modernizācijas ietvaros pieņemtie grozījumi, kuri cita starpā nosaka, ka tajā ietvertos strīdu izšķiršanas mehānismu nepiemēro līgumslēdzējām pusēm, kuras savstarpējās attiecībās ir vienas reģionālās ekonomikas integrācijas organizācijas (REIO) dalībnieces. Tikai šādā veidā būtu pilnībā izslēgts, ka citas ES dalībvalsts ieguldītājs var iesūdzēt, piemēram, Latviju starptautiskā šķīrējtiesā.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https://eur-lex.europa.eu/legal-content/EN/TXT/?uri=COM%3A2022%3A523%3AFIN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10. septembrī tika pieņemts Eiropas Parlamenta un Padomes lēmums (ES) 2025/1904 par to, lai Savienība apstiprinātu Nolīgumu par Enerģētikas hartas nolīguma interpretāciju un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(Komisija) sniegto informāciju Nolīguma par EHN interpretāciju parakstīšana plānota 2025. gada decembra sākumā.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ir izstrādāts ar mērķi starptautisko publisko tiesību instrumenta formā nostiprināt Eiropas Savienības Tiesas secinājumus </w:t>
      </w:r>
      <w:r w:rsidR="00000000" w:rsidRPr="00000000" w:rsidDel="00000000">
        <w:rPr>
          <w:i w:val="1"/>
          <w:rtl w:val="0"/>
        </w:rPr>
        <w:t xml:space="preserve">Achmea</w:t>
      </w:r>
      <w:r w:rsidR="00000000" w:rsidRPr="00000000" w:rsidDel="00000000">
        <w:rPr>
          <w:rtl w:val="0"/>
        </w:rPr>
        <w:t xml:space="preserve"> un </w:t>
      </w:r>
      <w:r w:rsidR="00000000" w:rsidRPr="00000000" w:rsidDel="00000000">
        <w:rPr>
          <w:i w:val="1"/>
          <w:rtl w:val="0"/>
        </w:rPr>
        <w:t xml:space="preserve">Komstroy</w:t>
      </w:r>
      <w:r w:rsidR="00000000" w:rsidRPr="00000000" w:rsidDel="00000000">
        <w:rPr>
          <w:rtl w:val="0"/>
        </w:rPr>
        <w:t xml:space="preserve"> lietās par starptautisko šķīrējtiesu klauzulu, kas atļauj vienas ES dalībvalsts ieguldītājam celt prasību pret citu ES dalībvalsti, nesaderību ar ES pamatlīgumiem.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25-TA-2586</w:t>
    </w:r>
    <w:r>
      <w:br/>
    </w:r>
    <w:r w:rsidR="00000000" w:rsidRPr="00000000" w:rsidDel="00000000">
      <w:rPr>
        <w:rtl w:val="0"/>
      </w:rPr>
      <w:t xml:space="preserve">Izdrukāts 29.07.2026. 23.37 - 3.0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25-TA-2586</w:t>
    </w:r>
    <w:r>
      <w:br/>
    </w:r>
    <w:r w:rsidR="00000000" w:rsidRPr="00000000" w:rsidDel="00000000">
      <w:rPr>
        <w:rtl w:val="0"/>
      </w:rPr>
      <w:t xml:space="preserve">Izdrukāts 29.07.2026. 23.37 - 3.0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anotācija_(ex_ante)_25-TA-2586.docx</dc:title>
</cp:coreProperties>
</file>

<file path=docProps/custom.xml><?xml version="1.0" encoding="utf-8"?>
<Properties xmlns="http://schemas.openxmlformats.org/officeDocument/2006/custom-properties" xmlns:vt="http://schemas.openxmlformats.org/officeDocument/2006/docPropsVTypes"/>
</file>