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 “Atbalsts procesu digitalizācijai komercdarbībā” īstenošanas noteikumi” (turpmāk – atbalsta programma) paredz sniegt atbalstu digitālo tehnoloģiju ieviešanai. Tas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mērķis ir veicināt procesu digitalizāciju komercdarbībā un produktivitātes paaugstināšanu ar mērķtiecīgu resursu ieguldīšanu augstākas pievienotās vērtības radīšanai komersantu darbības procesos, kas veicinātu Latvijas konkurētspējas priekšrocības.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27. aprīlī (prot. Nr. 36 27. §) Ministru kabinets apstiprināja Latvijas Atveseļošanas un noturības mehānisma fonda (turpmāk – Atveseļošanas fonds) plānu, kas iesniegts Eiropas Komisijā  2021. gada 30. aprīlī. 2021. gada 13. jūlijā Atveseļošanas fonda Padomes Īstenošanas lēmums  apstiprināts Eiropas Savienības Ekonomikas un finanšu padomē (ECOFIN).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Semestra 2020. gada ziņojumā par Latviju norādīts, ka Latvijas komersanti neizmanto digitālo tehnoloģiju potenciālu, par ko liecina arī Digitālās ekonomikas un sabiedrības indeksa rezultāti. Vienlaikus ar zemajiem e-komercijas rādītājiem ierobežots skaits komersantu izmanto mākoņpakalpojumus, sociālos medijus un lielos datus. Ekonomiskās sadarbības un attīstības organizācijas 2020. gada pētījumā “Going Digital in Latvia” tiek norādīts, ka Latvijas zemie produktivitātes rādītāji ir saistīti ar zemajām investīcijām procesu digitalizācijā. Ņemot vērā, ka Latvijā, salīdzinot ar citām Ekonomiskās sadarbības un attīstības organizācijas valstīm, lielākā daļa nodarbināto strādā pie sīkiem (mikro), maziem un vidējiem komersantiem. Lai veicinātu Latvijas produktivitātes rādītāju pieaugumu, ir nozīmīgi jāstimulē komersantus veikt investīcijas uzņēmuma procesu digitalizācijā (to skaitā e-komercijā, mākoņpakalpojumos, sociālos medijos, lielajos datos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notiktu uzņēmējdarbības digitālā transformācija, ir jāveicina komersantu izpratne par digitalizācijas procesiem, jo uzņēmējiem, īpaši sīkiem (mikro), maziem un vidējiem, nav pietiekamas kompetences par procesiem un tehnoloģiskajām iespējām, ko sniedz digitalizācija. Tai pat laikā Covid-19 krīzes kontekstā no uzņēmēju puses ir lielāka interese pēc atbalsta pārmaiņu vadības stratēģijas izstrādei.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izstrādāta atbalsta programma, kuras ietvaros Latvijas Investīciju un attīstības aģentūra sniegs atbalstu procesu digitalizācijai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sasaiste ar Digitālo dimensiju: atbalsta programma 100 % atbilst MVU digitalizācijai, intervences kods 010 (ieskaitot e-komerciju, e-komercdarbību un tīklā savienotus uzņēmējdarbības procesus, digitālās inovācijas centrus, dzīves laboratorijas, tīmekļa uzņēmējus un jaunizveidotus IKT uzņēmumus, B2B), intervences kods 010a1 (lielo uzņēmumu digitalizācija (tostarp e-komercija, e-darījumi un uzņēmējdarbības procesi tīklā, digitālās inovācijas centri, “dzīvās laboratorijas”, tīmekļa uzņēmēji un IKT jaunuzņēmumi, B2B)).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 atbalsta programmas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mērķgrupa jeb gala labuma guvējs ir sīkais (mikro), mazais, vidējais, lielais komersants, biedrība un nodibinājums, kas apvieno vairākus komersantus vai pārstāv to intereses, pētniecības un zināšanu izplatīšanas organizācijas. Biedrības un nodibinājumi sastāv no vismaz desmit biedrības biedriem vai nodibinājuma dibinātājiem, kuru vidū ir vismaz pieci komersanti un kas darbojas vismaz trīs gadus no dibināšanas brīža. Atbalstam var pieteikties arī valsts un pašvaldību kapitālsabiedrības, sociālie uzņēmumi Sociālā uzņēmuma likuma izpratnē. Gala labuma guvējiem jābūt reģistrētiem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pieejamais Atveseļošanas fonda finansējums ir </w:t>
      </w:r>
      <w:r w:rsidR="00000000" w:rsidRPr="00000000" w:rsidDel="00000000">
        <w:rPr>
          <w:b w:val="1"/>
          <w:rtl w:val="0"/>
        </w:rPr>
        <w:t xml:space="preserve">40 000 000</w:t>
      </w:r>
      <w:r w:rsidR="00000000" w:rsidRPr="00000000" w:rsidDel="00000000">
        <w:rPr>
          <w:b w:val="1"/>
          <w:i w:val="1"/>
          <w:rtl w:val="0"/>
        </w:rPr>
        <w:t xml:space="preserve"> euro</w:t>
      </w:r>
      <w:r w:rsidR="00000000" w:rsidRPr="00000000" w:rsidDel="00000000">
        <w:rPr>
          <w:rtl w:val="0"/>
        </w:rPr>
        <w:t xml:space="preserve">, kas ir pieejams šādām mērķgrupām: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w:t>
      </w:r>
      <w:r w:rsidR="00000000" w:rsidRPr="00000000" w:rsidDel="00000000">
        <w:rPr>
          <w:b w:val="1"/>
          <w:rtl w:val="0"/>
        </w:rPr>
        <w:t xml:space="preserve">1 000 000 </w:t>
      </w:r>
      <w:r w:rsidR="00000000" w:rsidRPr="00000000" w:rsidDel="00000000">
        <w:rPr>
          <w:b w:val="1"/>
          <w:i w:val="1"/>
          <w:rtl w:val="0"/>
        </w:rPr>
        <w:t xml:space="preserve">euro</w:t>
      </w:r>
      <w:r w:rsidR="00000000" w:rsidRPr="00000000" w:rsidDel="00000000">
        <w:rPr>
          <w:rtl w:val="0"/>
        </w:rPr>
        <w:t xml:space="preserve"> apmērā paredzēts sīkiem (mikro), maziem komersantiem (maksimālais atbalsta slieksnis ir 5000</w:t>
      </w:r>
      <w:r w:rsidR="00000000" w:rsidRPr="00000000" w:rsidDel="00000000">
        <w:rPr>
          <w:i w:val="1"/>
          <w:rtl w:val="0"/>
        </w:rPr>
        <w:t xml:space="preserve"> euro</w:t>
      </w:r>
      <w:r w:rsidR="00000000" w:rsidRPr="00000000" w:rsidDel="00000000">
        <w:rPr>
          <w:rtl w:val="0"/>
        </w:rPr>
        <w:t xml:space="preserve"> vienam komersantam). Atbalsta saņēmējam jānodrošina labās prakses pārņemšanu un informācijas pieejamību par sasniegto risinājumu citiem sīkiem (mikro) un maziem komersantiem. Plānots, ka komersanti varēs pārņemt labo praksi viens no otra ar klātienes vai attālinātām vizītēm, tādējādi veicinot ne tikai savu, bet arī reģiona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w:t>
      </w:r>
      <w:r w:rsidR="00000000" w:rsidRPr="00000000" w:rsidDel="00000000">
        <w:rPr>
          <w:b w:val="1"/>
          <w:rtl w:val="0"/>
        </w:rPr>
        <w:t xml:space="preserve">500 000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paredzēts biedrībām un nodibinājumiem (maksimālais atbalsta slieksnis ir 100 000 </w:t>
      </w:r>
      <w:r w:rsidR="00000000" w:rsidRPr="00000000" w:rsidDel="00000000">
        <w:rPr>
          <w:i w:val="1"/>
          <w:rtl w:val="0"/>
        </w:rPr>
        <w:t xml:space="preserve">euro</w:t>
      </w:r>
      <w:r w:rsidR="00000000" w:rsidRPr="00000000" w:rsidDel="00000000">
        <w:rPr>
          <w:rtl w:val="0"/>
        </w:rPr>
        <w:t xml:space="preserve"> vienai biedrībai un nodibinājumam);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w:t>
      </w:r>
      <w:r w:rsidR="00000000" w:rsidRPr="00000000" w:rsidDel="00000000">
        <w:rPr>
          <w:b w:val="1"/>
          <w:rtl w:val="0"/>
        </w:rPr>
        <w:t xml:space="preserve">36 000 000 </w:t>
      </w:r>
      <w:r w:rsidR="00000000" w:rsidRPr="00000000" w:rsidDel="00000000">
        <w:rPr>
          <w:b w:val="1"/>
          <w:i w:val="1"/>
          <w:rtl w:val="0"/>
        </w:rPr>
        <w:t xml:space="preserve">euro</w:t>
      </w:r>
      <w:r w:rsidR="00000000" w:rsidRPr="00000000" w:rsidDel="00000000">
        <w:rPr>
          <w:rtl w:val="0"/>
        </w:rPr>
        <w:t xml:space="preserve"> apmērā paredzēts sīkiem (mikro), maziem, vidējiem un lieliem komersantiem, pētniecības un zināšanu izplatīšanas organizācijām, ja atbalsts ir nepieciešams ieguldījumiem materiālajos un nemateriālajos aktīvos virs 5000 </w:t>
      </w:r>
      <w:r w:rsidR="00000000" w:rsidRPr="00000000" w:rsidDel="00000000">
        <w:rPr>
          <w:i w:val="1"/>
          <w:rtl w:val="0"/>
        </w:rPr>
        <w:t xml:space="preserve">euro</w:t>
      </w:r>
      <w:r w:rsidR="00000000" w:rsidRPr="00000000" w:rsidDel="00000000">
        <w:rPr>
          <w:rtl w:val="0"/>
        </w:rPr>
        <w:t xml:space="preserve"> apmērā (maksimālais atbalsta slieksnis ir 100 000 </w:t>
      </w:r>
      <w:r w:rsidR="00000000" w:rsidRPr="00000000" w:rsidDel="00000000">
        <w:rPr>
          <w:i w:val="1"/>
          <w:rtl w:val="0"/>
        </w:rPr>
        <w:t xml:space="preserve">euro</w:t>
      </w:r>
      <w:r w:rsidR="00000000" w:rsidRPr="00000000" w:rsidDel="00000000">
        <w:rPr>
          <w:rtl w:val="0"/>
        </w:rPr>
        <w:t xml:space="preserve"> vienam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w:t>
      </w:r>
      <w:r w:rsidR="00000000" w:rsidRPr="00000000" w:rsidDel="00000000">
        <w:rPr>
          <w:b w:val="1"/>
          <w:rtl w:val="0"/>
        </w:rPr>
        <w:t xml:space="preserve">2 500 000 </w:t>
      </w:r>
      <w:r w:rsidR="00000000" w:rsidRPr="00000000" w:rsidDel="00000000">
        <w:rPr>
          <w:b w:val="1"/>
          <w:i w:val="1"/>
          <w:rtl w:val="0"/>
        </w:rPr>
        <w:t xml:space="preserve">euro</w:t>
      </w:r>
      <w:r w:rsidR="00000000" w:rsidRPr="00000000" w:rsidDel="00000000">
        <w:rPr>
          <w:rtl w:val="0"/>
        </w:rPr>
        <w:t xml:space="preserve"> apmērā Latvijas Investīciju un attīstības aģentūrai atbalsta programmas īstenošanas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attiecināmības termiņš ir 2026. gada 30. jūnijs;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sniedzējs - Latvijas Investīcijas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atbalsta veids</w:t>
      </w:r>
      <w:r w:rsidR="00000000" w:rsidRPr="00000000" w:rsidDel="00000000">
        <w:rPr>
          <w:rtl w:val="0"/>
        </w:rPr>
        <w:t xml:space="preserve"> - Latvijas Investīcijas un attīstības aģentūras izsniegts grants vaučera formā gala labuma guvēja investīciju projekta finansēšanai. Vaučers ir instruments, kurš jāpieņem kā atlīdzība par preču piegādi vai pakalpojumu sniegšanu un kurā vai ar kuru saistītajos dokumentos, tostarp šāda instrumenta izmantošanas noteikumos, norādītas piegādājamās preces vai sniedzamie pakalpojumi, vai potenciālo piegādātāju vai sniedzēju identitāte. Vaučerī tiek norādīti tā izmantošanas nosacījumi un tādēļ pakalpojuma sniedzējam ir zināmi nosacījumi, kādiem iestājoties, Latvijas Investīciju un attīstības aģentūra norēķinās ar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ietvaros tiks īstenots stratēģiski svarīgs projekts un veiktas ar to saistītās komunikācijas aktivitātes. Latvijas Investīcijas un attīstības aģentūra nodrošinās informācijas un publicitātes pasākumus saskaņā ar Eiropas Parlamenta un Padomes 2021. gada 12. februāra Regulas Nr. 2021/241 34. pantu, Eiropas Komisijas un Latvijas Republikas Atveseļošanas un noturības mehānisma finansēšanas nolīguma 10. pantu, nodrošinot ne mazāk kā vienu informatīvu pasākumu noteikumu projekta 10. punkta īstenošanai, kā arī Eiropas Savienības fondu 2021.–2027. gada plānošanas perioda un Atveseļošanas fonda komunikācijas un dizaina vadlīniju 3. nodaļā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2.2.1.4.i. investīciju “Finanšu instrumenti komersantu digitālās transformācijas veicināšanai” (turpmāk - 2.2.1.4.i. investīcija) tiks nodrošināta, jo 2.2.1.4.i. investīcijas ietvaros atbalsts daudz specifiskāk vērsts uz Industrija 4.0 iekārtām un liela apjoma investīcijām (līdz 7 milj. </w:t>
      </w:r>
      <w:r w:rsidR="00000000" w:rsidRPr="00000000" w:rsidDel="00000000">
        <w:rPr>
          <w:i w:val="1"/>
          <w:rtl w:val="0"/>
        </w:rPr>
        <w:t xml:space="preserve">euro</w:t>
      </w:r>
      <w:r w:rsidR="00000000" w:rsidRPr="00000000" w:rsidDel="00000000">
        <w:rPr>
          <w:rtl w:val="0"/>
        </w:rPr>
        <w:t xml:space="preserve"> vienam komersantam), savukārt atbalsts vaučera veidā atbalsta programmas ietvaros vērsts mazāka apjoma ieguldījumiem (līdz 5000 </w:t>
      </w:r>
      <w:r w:rsidR="00000000" w:rsidRPr="00000000" w:rsidDel="00000000">
        <w:rPr>
          <w:i w:val="1"/>
          <w:rtl w:val="0"/>
        </w:rPr>
        <w:t xml:space="preserve">euro </w:t>
      </w:r>
      <w:r w:rsidR="00000000" w:rsidRPr="00000000" w:rsidDel="00000000">
        <w:rPr>
          <w:rtl w:val="0"/>
        </w:rPr>
        <w:t xml:space="preserve">un līdz 100 000 </w:t>
      </w:r>
      <w:r w:rsidR="00000000" w:rsidRPr="00000000" w:rsidDel="00000000">
        <w:rPr>
          <w:i w:val="1"/>
          <w:rtl w:val="0"/>
        </w:rPr>
        <w:t xml:space="preserve">euro</w:t>
      </w:r>
      <w:r w:rsidR="00000000" w:rsidRPr="00000000" w:rsidDel="00000000">
        <w:rPr>
          <w:rtl w:val="0"/>
        </w:rPr>
        <w:t xml:space="preserve"> vienam) iekārtās kā, piemēram, sensori, aparatūra (piemēram, kases iekārtas), programmatūrā (gan pašas programmatūras, gan lietošanas licenču iegādi, gan periodisko izmaksu segšanu uz to izmantošanas laiku). Latvijas Investīciju un attīstības aģentūra nodrošinās dubultfinansējuma neesamības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programmas ietvaros sasniedzamais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7. punktā minētais termins “uzņēmumi” tiek lietots pamatojoties uz  Atveseļošanās un noturības mehānisma plāna darbības kārtības oficiālo tulkojumu, kas pēc būtības šo noteikumu projekta izpratnē ir saprotams kā “komersanti”, kā arī termins “projekts” ir saprotams kā “investīciju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30. jūnijam to uzņēmumu skaits, kam sniegts atbalsts, lai digitalizētu komercdarbības procesus, un kam pēc granta saņemšanas un projekta īstenošanas uzlabojās digitālā brieduma testa rezultāts, salīdzinot ar iepriekšējo testa rezultātu  –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2026. gada 30. jūnijam  to uzņēmumu skaits, kam sniegts atbalsts, lai digitalizētu komercdarbības procesus, un kam pēc granta saņemšanas un projekta īstenošanas uzlabojās digitālā brieduma testa rezultāts, salīdzinot ar iepriekšējo testa rezultātu – 200;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 30. jūnijam to uzņēmumu skaits, kam sniegts atbalsts, lai digitalizētu komercdarbības procesus, un kam pēc granta saņemšanas un projekta īstenošanas uzlabojās digitālā brieduma testa rezultāts, salīdzinot ar iepriekšējo testa rezultātu – 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decembrim to uzņēmumu skaits, kam sniegts atbalsts, lai digitalizētu komercdarbības procesus, un kam pēc granta saņemšanas un projekta īstenošanas uzlabojās digitālā brieduma testa rezultāts, salīdzinot ar iepriekšējo testa rezultātu  – 140;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kopējie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saņem atbalstu digitālo produktu, pakalpojumu un lietojumprogrammu izstrādei vai ieviešanai - uzņēmumi, kurus atbalsta, lai pieņemtu digitālos risinājumus savu pakalpojumu, produktu vai procesu pārveidošanai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atbalstītie uzņēmumi (mazie, tai skaitā mikro, uzņēmumi, vidējie uzņēmumi, 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rādītāji ir noteikti saskaņā ar Komisijas 2021. gada 28. septembra deleģētās regulas Nr. 2021/2106, ar kuru, nosakot atveseļošanas un noturības rezultātu pārskata kopējos rādītājus un detalizētos elementus, papildina Eiropas Parlamenta un Padomes Regulu (ES) 2021/241, ar ko izveido Atveseļošanas un noturības mehānismu, pielikuma „Kopējo rādītāju saraksts” noteiktajiem kopējiem rādītājiem. Kopējo rādītāju mērķis ir sniegt vispārēju informāciju par progresu, kas panākts, īstenojot Atveseļošanas fonda plānu, un par tiem būs jāziņo Eiropas Komisijai divas reizes gadā. Jānorāda, ka kopējie rādītāji, atšķirībā no atbalsta programmas uzraudzības rādītājiem un mērķiem, neparedz definētus atskaites punktus, kas ir jāsasniedz. To mērķis ir sekot līdzi aktuālajai situācijai iepriekš definētos iedalījumos.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kopējie rādītāji un apakšrādītāji tiks vērtēti un par tiem tiks ziņots Eiropas Komisijai kontekstā ar atbalsta programmas ietvaros sniegto atbalstu gala labuma guvējiem. Tai pašā laikā jānorāda, ka nebūs ieguldījumu rādītāja “Uzņēmumi, kas saņem atbalstu digitālo produktu, pakalpojumu un lietojumprogrammu izstrādei vai ieviešanai” apakšrādītājā “Uzņēmumi, kurus atbalsta, lai izstrādātu digitālās tehnoloģijas un risinājumus”, jo atbalsta programma neparedz atbalstīt tādas darbības, kurās tiek izstrādātas digitālās tehnoloģijas un risinājumi un šī apakšrādītāja ietvaros prognozējamais rādītājs, par ko tiks ziņots Eiropas Komisijai, ir 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Rādītāju sasniegšanas izpildes nosacījumi</w:t>
      </w:r>
      <w:r w:rsidR="00000000" w:rsidRPr="00000000" w:rsidDel="00000000">
        <w:rPr>
          <w:rtl w:val="0"/>
        </w:rPr>
        <w:t xml:space="preserve"> saskaņā ar Eiropas Padomes 2021. gada 6. jūlija lēmuma par Latvijas Atveseļošanas un noturības mehānisma plāna izvērtējuma apstiprināšanu pielikumā un Atveseļošanas fonda plāna Darbības kārtībā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Mērķrādītājs ir izpildīts, ja ir noslēgts līgums ar uzņēmumu un atkārtotā digitālā brieduma testā tiek novēroti testa rezultāta uzlabojumi.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Rādītāju pārbaudes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mērķis (tostarp visi būtiskie elementi) kopā ar atbilstošām saitēm uz pamatojošajiem pierādījumiem. Šā dokumenta pielikumā iekļauj šādus dokumentārus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līgumu sarakstu, kas noslēgti starp atbalsta sniedzēju un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atkārtota digitālā brieduma testa rezultātu, kas apliecina procesu uzlabojumus.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mērķu, rādītāju un to sadalījuma termini ir norādīti atbilstoši to latviskajam tulkojumam.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 katra nākamā atbalsta pieteikuma iesniegšana noteikumu projekta 42. punktā noteiktajos gadījumos neietekmēs investīcijas rādītāju, kas noteikti noteikumu projekta 7. punktā,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programmas īstenošanā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slēdz vienošanos ar Latvijas Investīciju un attīstības aģentūru par Atveseļošanas fonda finansējuma pārvaldīšanu, tā piešķiršanas, izlietošanas, uzraudzības kārtību un noteikto rādītāju uzskaiti un ievadīšanu Kohēzijas politikas fondu vadības informācijas sistēmā (turpmāk - Vadības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ir atbalsta sniedzējs gala labuma guvējiem.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īstenošanas ietvaros ir paredzēta sadarbība ar Eiropas digitālās inovācijas centru (turpmāk - EDIC), kas ir 2.2.1.1.i. investīcijas “Atbalsts Digitālo inovāciju centru un reģionālo kontaktpunktu izveidei” (turpmāk - 2.2.1.1.i. investīcija) ietvaros Latvijas nacionālās atlases procedūrā izraudzīta kandidātiestāde, kas ir iesniegusi pieteikumu Eiropas Komisijas uzsaukumam par EDIC izveidi. Eiropas Komisijas atlasē ir izvēlēti abu EDIC kā biedrības “Latvijas Informācijas tehnoloģiju klasteris” un biedrības “Latvijas Digitālais akselerators” veidotie konsorciji un katrs darbojas savā specializācijas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Ekonomikas ministrijas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 uzaicinājumu Latvijas Investīciju un attīstības aģentūrai iesniegt projekta iesniegumu un izvērtēt to atbilstoši noteikumu projekta, Atveseļošanas fonda plāna un izslēgšanas kritēriju atbilstoši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nosacījumiem un atbilstības gadījumā slēgt vienošanos ar Latvijas Investīciju un attīstības aģentūru par Atveseļošanas fonda finansējuma pārvaldīšanu, tā piešķiršanas, izlietošanas un uzraudzības kārtību. Ekonomikas ministrija nodrošinās iekšējās kontroles sistēmas izstrādi, īstenošanu, uzraudzību (tai skaitā iekšējo auditu) un pilnveidi atbilstoši Atveseļošanas fonda īstenošanas prasībām. Tiks izstrādātas iekšējās procedūras, kas noteiks Ekonomikas ministrijas funkcijas, pienākumus un atbildību attiecībā uz Atveseļošanas fonda investīciju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Latvijas Investīcijas un attīstības aģentūras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projekta iesniegumu Vadības informācijas sistēmā Ekonomikas ministrijas norādītajā termiņā, nodrošināt atbalsta programmas īstenošanu, atbalsta piešķiršanu un uzraudzību saskaņā ar atbalsta programmas nosacījumiem un vienošanos, ko Latvijas Investīciju un attīstības aģentūra noslēdz ar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izveidot konsultatīvo padomi, kas sanāks reizi sešos mēnešos un tās pienākumos paredzēts izvērtēt sešu mēnešu progresa pārskatos norādāmo informāciju par atbalsta programmas rezultātu un informēt par iespējamiem riskiem, kas ietekmē vēlamo atbalsta programmas rezultātu un mērķa sasniegšanu. Tās sastāvā paredzēts iekļaut pārstāvjus no EDIC, Latvijas Investīciju un attīstības aģentūras un Ekonomikas ministrijas, nepieciešamības gadījumā piesaistot ekspertus no zinātniskajām institūcijām, nozares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izstrādās gala labuma guvēju iesniegto pieteikumu vērtēšanas kritērijus un kārtību, kādā gala labuma guvējam tiek izsniegts vaučers, tiek nodrošināta vaučera aprite un izmantošanas uzraudzība un tā būs publiski pieejama informācijas sistēmā "Valsts platforma biznesa attīstībai" (www.business.gov.lv), kas ir ar mākslīgā intelekta atbalstu veidotā biznesa atbalsta platforma, kur digitāli ir pieejami visi Latvijas Investīciju un attīstības aģentūras sniegtie pakalpojumi, kas paaugstina automatizācijas līmeni un paātrina pakalpojumu saņemšanu. Attiecībā uz gala labuma guvēju konsultāciju izmaksām Latvijas Investīciju un attīstības aģentūra iekšējā kārtībā var ietvert nosacījumus attiecībā uz konsultāciju izmaksu minimālo un maksimālo summu, pakalpojuma sniedzēja pieredzi, konsultācijām paredzēto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Kārtības nosacījumi tiks atrunāti arī Latvijas Investīciju un attīstības aģentūras līgumā ar gala labuma guvēju. Atbalsta programmas ietvaros sākotnēji gala labuma guvējs slēdz līgumu ar Latvijas Investīciju un attīstības aģentūru un pēc vaučera saņemšanas- līgumu ar pakalpojuma sniedzēju, kas izvēlēts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guvēju iesniegtos pieteikumus izvērtēs Latvijas Investīciju un attīstības aģentūras izveidotā vērtēšanas komisija. Latvijas Investīciju un attīstības aģentūra informāciju par atbalsta pieteikumu iesniegšanu publicēs www.business.gov.lv. Atbalstu saņems gala labuma guvēji, kas atbildīs noteikumu projektā un Latvijas Investīciju un attīstības aģentūras izstrādātajiem nosacījumiem. Latvijas Investīciju un attīstības aģentūra slēgs līgumu ar tiem gala labuma guvējiem, kas atbildīs visiem noteikumu projektā un Latvijas Investīciju un attīstības aģentūras izstrādātajiem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īstenošanai  Latvijas Investīciju un attīstības aģentūra var saņemt vairākus maksājumus. Avansa maksājumu Latvijas Investīciju un attīstības aģentūra var saņemt 30% apmērā no kopējā pieejamā finansējuma apmēra, ja ir izstrādāta un ar Ekonomikas ministriju saskaņota kārtība, kādā gala labuma guvējam tiek izsniegts vaučers, tiek nodrošināta vaučera aprite un izmantošanas uzraudzība. Nākamos starpposma maksājumus Latvijas Investīciju un attīstības aģentūra var pieprasīt, ja iepriekšējie maksājumi ir izlietoti pilnā apmērā. Avansa un starpposma maksājumu kopsumma nepārsniedz 90% no kopējā pieejamā finansējuma 2.2.1.2.i. investīcijai.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kārtību nevar tiešā veidā sasaistīt ar atbalsta programmas mērķiem, uzraudzības rādītājiem, jo noteikumu projekta izstrādes brīdī nav iespējams prognozēt, kāds būs gala labuma guvēju iesniegto investīciju projektu lielums un kopējā aktivitāte. Ņemot vērā, ka atbalsta programmas ieviešanā laicīga mērķu un uzraudzības rādītāju sasniegšana ir kritiski svarīga Atveseļošanas fonda plāna izpildīšanai, nedrīkst radīt apstākļus situācijai, ka atbalsta programmā izveidojas finansējuma pārrāvums un kādu brīdi nav iespēja sniegt atbalstu gala labuma guvēju investīciju projektu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Nosacījumi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ir nepieciešams veikt </w:t>
      </w:r>
      <w:r w:rsidR="00000000" w:rsidRPr="00000000" w:rsidDel="00000000">
        <w:rPr>
          <w:b w:val="1"/>
          <w:rtl w:val="0"/>
        </w:rPr>
        <w:t xml:space="preserve">digitālā brieduma testu</w:t>
      </w:r>
      <w:r w:rsidR="00000000" w:rsidRPr="00000000" w:rsidDel="00000000">
        <w:rPr>
          <w:rtl w:val="0"/>
        </w:rPr>
        <w:t xml:space="preserve"> </w:t>
      </w:r>
      <w:r w:rsidR="00000000" w:rsidRPr="00000000" w:rsidDel="00000000">
        <w:rPr>
          <w:b w:val="1"/>
          <w:rtl w:val="0"/>
        </w:rPr>
        <w:t xml:space="preserve">(sākotnējo)</w:t>
      </w:r>
      <w:r w:rsidR="00000000" w:rsidRPr="00000000" w:rsidDel="00000000">
        <w:rPr>
          <w:rtl w:val="0"/>
        </w:rPr>
        <w:t xml:space="preserve">, lai noteiktu nepieciešamās investīcijas digitalizācijas vajadzībām un saņemtu </w:t>
      </w:r>
      <w:r w:rsidR="00000000" w:rsidRPr="00000000" w:rsidDel="00000000">
        <w:rPr>
          <w:b w:val="1"/>
          <w:rtl w:val="0"/>
        </w:rPr>
        <w:t xml:space="preserve">digitālās attīstības ceļa karti</w:t>
      </w:r>
      <w:r w:rsidR="00000000" w:rsidRPr="00000000" w:rsidDel="00000000">
        <w:rPr>
          <w:rtl w:val="0"/>
        </w:rPr>
        <w:t xml:space="preserve"> no EDIC. Latvijas Investīciju un attīstības aģentūra sniegs atbalstu tikai mērķiem, kas ir atrunāti digitālā brieduma testa rezultātos balstītas digitālās attīstības ceļa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brieduma testu gala labuma guvējs var veikt patstāvīgi vai kopā ar EDIC ekspertu. Gala labuma guvējam tiks nodrošināta iespēja patstāvīgi piekļūt testam EDIC tīmekļvietnē, kā arī nodrošināta eksperta palīdzība, sazinoties ar EDIC un tā reģionālajiem kontaktpunktiem. Digitālā brieduma testa aizpildīšana ir komplekss pasākums, kur nepieciešamas zināšanas un prasmes tā aizpildīšanā, tādēļ atbalsta programma ir ietverts nosacījums, ka testu var veikt gan patstāvīgi, gan kopā ar EDIC ekspertu.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gala labuma guvējam ir pienākums kopā ar atbalsta pieteikumu iesniegt Latvijas Investīciju un attīstības aģentūrā sākotnējo digitālā brieduma testu un digitālās attīstības ceļa karti. Digitālās attīstības ceļa kartes izstrādi veiks EDIC eksperts, kas būs padziļināts novērtējums pēc digitālā brieduma testa veikšanas par gala labuma guvējam nepieciešamajām investīcijām digitālās transformācijas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ka konkrēto iekārtu vai programmatūras iegāde ir sniegusi pienesumu procesu digitalizācijā, gala labuma guvējam jāveic </w:t>
      </w:r>
      <w:r w:rsidR="00000000" w:rsidRPr="00000000" w:rsidDel="00000000">
        <w:rPr>
          <w:b w:val="1"/>
          <w:rtl w:val="0"/>
        </w:rPr>
        <w:t xml:space="preserve">otrreizējais</w:t>
      </w:r>
      <w:r w:rsidR="00000000" w:rsidRPr="00000000" w:rsidDel="00000000">
        <w:rPr>
          <w:rtl w:val="0"/>
        </w:rPr>
        <w:t xml:space="preserve"> EDIC pārvaldītais digitālā brieduma tests, kas jāiesniedz Latvijas Investīciju un attīstības aģentūrā un tā rezultāti tiks savstarpēji salīdzināti. Plānots, ka digitālā brieduma testa rezultātā ir jābūt vērojamam uzlabojumam digitalizācijas kopējā līmenī pret iepriekšējo pirms atbalsta saņemšanas no Latvijas Investīciju un attīstības aģentūras. Ja otrreizējā digitālā brieduma testa rezultāti neuzrāda uzlabojumus, EDIC ir pienākums pārbaudīt testus un sniegt atzinumu gala labuma guvējam. Otrreizējā digitālā brieduma testa rezultāti var parādīt tādu pašu digitālā brieduma līmeni kā sākotnējā digitālā brieduma testa rezultāti, kas varētu liecināt par to, ka gala labuma guvējam ir nepieciešams veikt papildus ieguldījumus digitālajā transformācijā. Gadījumā, ja ir bijušas tehniskas problēmas problēmas testa aizpildīšanas procesā un saņemtie rezultāti ir nekvalitatīvi, gala labuma guvējam ir tiesības veikt atkārtotu digitālā brieduma testu. EDIC pārbaudīs testus un sniegs atzinumu gala labuma guvējam.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no EDIC ir jāsaņem </w:t>
      </w:r>
      <w:r w:rsidR="00000000" w:rsidRPr="00000000" w:rsidDel="00000000">
        <w:rPr>
          <w:b w:val="1"/>
          <w:rtl w:val="0"/>
        </w:rPr>
        <w:t xml:space="preserve">atzinums</w:t>
      </w:r>
      <w:r w:rsidR="00000000" w:rsidRPr="00000000" w:rsidDel="00000000">
        <w:rPr>
          <w:rtl w:val="0"/>
        </w:rPr>
        <w:t xml:space="preserve"> - novērtējums par gala labuma guvēja esošo digitālo un inovāciju briedumu un par veikto investīciju atbilstību digitālās attīstības ceļa kartei. Novērtējums apliecina, ka gala labuma guvējs ir izpildījis digitālās attīstības ceļa kartē noteikto. EDIC pastāv iespēja veidot automātisku sākotnējo un otrreizējo digitālā brieduma testa rīku, kur viena no sadaļām būtu automatizēta digitālās attīstības ceļa karte un atzinums. Automātiski izveidots novērtējums attiecināms tikai uz gala labuma guvējiem – sīkiem (mikro), maziem komersantiem ar atbalstu līdz 5000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EDIC veiktā izvērtējuma rezultāti norāda, ka ir uzlabojumi digitalizācijas kopējā līmenī pret iepriekšējo, tad tiek izsniegts pozitīvs atzinumus. Ja izvērtējuma rezultāti nenorāda uzlabojumus digitalizācijas kopējā līmenī pret iepriekšējo, tiek izsniegts negatīvs atzinums kā rezultātā izmaksas gala labuma guvējam no Atveseļošanas fonda finansējuma netiek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digitālā brieduma testa (sākotnējā un otrreizējā), digitālās attīstības ceļa kartes, atzinuma izmaksas var tikt segtas kā 100% </w:t>
      </w:r>
      <w:r w:rsidR="00000000" w:rsidRPr="00000000" w:rsidDel="00000000">
        <w:rPr>
          <w:i w:val="1"/>
          <w:rtl w:val="0"/>
        </w:rPr>
        <w:t xml:space="preserve">de minimis</w:t>
      </w:r>
      <w:r w:rsidR="00000000" w:rsidRPr="00000000" w:rsidDel="00000000">
        <w:rPr>
          <w:rtl w:val="0"/>
        </w:rPr>
        <w:t xml:space="preserve"> atbalsts 2.2.1.1.i. investīcijas ietvaros. Ja gala labuma guvējam nav pieejams </w:t>
      </w:r>
      <w:r w:rsidR="00000000" w:rsidRPr="00000000" w:rsidDel="00000000">
        <w:rPr>
          <w:i w:val="1"/>
          <w:rtl w:val="0"/>
        </w:rPr>
        <w:t xml:space="preserve">de minimis</w:t>
      </w:r>
      <w:r w:rsidR="00000000" w:rsidRPr="00000000" w:rsidDel="00000000">
        <w:rPr>
          <w:rtl w:val="0"/>
        </w:rPr>
        <w:t xml:space="preserve"> atbalsts, tad izmaksas jāsedz no saviem līdzekļiem atbilstoši EDIC cenrādim, kas atbilst tirgus cenai vai atspoguļo attiecīgās izmaksas un ir publiski pieejams. Gala labuma guvēji, kas saņem finansējumu no valsts budžeta līdzekļiem (piemēram, valsts kapitālsabiedrības un nevalstiskās organizācijas, kurām deleģēta valsts funkciju izpilde) nosacījumu par noteikumu projekta 64. punktā minēto, kas nosaka, ka par gala labuma guvēja līdzfinansējumu nevar būt saņemts publiskais atbalsts, tai skaitā </w:t>
      </w:r>
      <w:r w:rsidR="00000000" w:rsidRPr="00000000" w:rsidDel="00000000">
        <w:rPr>
          <w:i w:val="1"/>
          <w:rtl w:val="0"/>
        </w:rPr>
        <w:t xml:space="preserve">de minimis</w:t>
      </w:r>
      <w:r w:rsidR="00000000" w:rsidRPr="00000000" w:rsidDel="00000000">
        <w:rPr>
          <w:rtl w:val="0"/>
        </w:rPr>
        <w:t xml:space="preserve">, izpilda, līdzfinansējumu nodrošinot no pašu ieņēmumiem, tos grāmatvediski nodalot no saņemtās valsts dotācijas.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vaučera veidā un gala labuma guvējs var iesniegt vairākus atbalsta pieteikumus, ņemot vērā  nosacījumu, ka katru nākamo atbalsta pieteikumu var iesniegt, ja ir īstenots iepriekšējais apstiprinātais atbalsta pieteikums, pieņemts lēmums par iepriekšējā atbalsta pieteikuma noraidīšanu vai sniegts Latvijas Investīciju un attīstības aģentūras atzinums par to, ka lēmumā par atbalsta pieteikuma apstiprināšanu ar nosacījumu ietvertie nosacījumi nav izpildīti. Gala labuma guvējs vienlaicīgi nevar iesniegt vairākus atbalsta pieteikumus investīciju projekta īstenošanai. Latvijas Investīciju un attīstības aģentūra atbilstoši Administratīva procesa likumam pieņem lēmumu par gala labuma guvējam piešķiramo atbalstu. Pieņemot lēmumu saskaņā ar Administratīvā procesa likuma 68. pantu, Latvijas Investīciju un attīstības aģentūrai ir tiesības pieņemt lēmumu par piešķiramo atbalstu gala labuma guvējam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Vaučerī norādīto mērķu sasniegšanai atbalstāmo darbību ietvaros gala labuma guvējs piemēro ārpakalpojumu, kas tiek veikts saskaņā ar normatīvajiem aktiem publisko iepirkumu jomā, īstenojot atklātu, pārredzamu, nediskriminējošu un konkurenci neierobežojošu procedūru. Nav pieļaujama mākslīga iepirkumu sadalīšana, paredzot, piemēram, vienas iekārtas vai to daļu iegādi vairākos, mazos iepirkumos kā 2.2.1.4.i. investīcijas, tā atbalsta programmas ietvaros. Tāpat nav pieļaujama vienas un tās pašas programmatūras vai iekārtas iegāde atkārtoti. Digitālās attīstības ceļa kartē tiks norādīti gala labuma guvējam nepieciešamie ieguldījumi digitālās transformācijas īstenošanai, attiecīgi gala labuma guvējam būs jāievēro paredzamās līgumcenas noteikšanas pamatprincipi, lai izvēlētos atbilstošu iepirkuma procedūru. Iepirkumu uzraudzības birojs ir sniedzis skaidrojumus paredzamās līgumcenas noteikšanai, kurus gala labuma guvējs var izmantot iepirkumu plānošanā https://www.iub.gov.lv/lv/skaidrojums-paredzamas-ligumcenas-noteiksanas-pamatprincipi.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gala labuma guvējs kopā ar pieteikumu atbalsta saņemšanai iesniedz apliecinājumu, ka atbalstāmo darbību īstenošanas laikā un trīs gadus pēc šo darbību īstenošanas iesniegs Centrālajā statistikas pārvaldē pārskatus par inovāciju izmaksām Centrālās statistikas pārvaldes noteiktajos termiņos un formā. Pēc investīciju projekta īstenošanas veiktie ieguldījumi jāiekļauj gala labuma guvēja finanšu pārskatos ilgtermiņa ieguldījumu sadaļā. Nosacījumi tiks ietverti Latvijas Investīciju un attīstības aģentūras līgumā ar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lielākā daļa veiksmīgo digitalizācijas atbalsta iniciatīvu un projektu ir bijušas ar individuālu pieeju komersantam, kas neapšaubāmi ir rezultatīvākais veids mērķa sasniegšanā, taču ne no izmaksu efektivitātes viedokļa. Lai panāktu arvien lielāku komersantu, jo īpaši sīko (mikro), mazo iesaistīšanos projektos, nepieciešama mērogojama pieeja, tādēļ ir paredzēts, ka EDIC izstrādās Latvijā pieejamu standartizētu digitālās transformācijas risinājumu katalogu. Sīkie (mikro), mazie komersanti Latvijas Investīcijas un attīstības aģentūras izsniegto vaučeri varēs izmantot, izvēloties pakalpojuma sniedzēju no EDIC izstrādātā kataloga. Katalogā tiek iekļauti Latvijas vai Latvijā pārstāvēto komersantu vai organizāciju izstrādātie risinājumi. Lai atvieglotu administratīvo slogu atbalsta saņēmējiem kā sīkiem (mikro), maziem komersantiem ar atbalstu līdz 5000 </w:t>
      </w:r>
      <w:r w:rsidR="00000000" w:rsidRPr="00000000" w:rsidDel="00000000">
        <w:rPr>
          <w:i w:val="1"/>
          <w:rtl w:val="0"/>
        </w:rPr>
        <w:t xml:space="preserve">euro</w:t>
      </w:r>
      <w:r w:rsidR="00000000" w:rsidRPr="00000000" w:rsidDel="00000000">
        <w:rPr>
          <w:rtl w:val="0"/>
        </w:rPr>
        <w:t xml:space="preserve"> apmērā, plānots, ka šiem komersantiem ir tiesības izvēlēties pakalpojuma sniedzēju tieši no kataloga. EDIC veic risinājumu pārbaudi pirms to ievietošanas katalogā, pirms tam pārliecinoties, ka risinājums ir iegūstams uzreiz, tam ir pieejami bezmaksas lietotāju apmācību materiāli un uzstādīšanas/ administrēšanas rokasgrāmata, risinājuma piegādātājs nav grūtības nonācis un risinājuma izmaksas atbilst tirgus cenai. Katalogā piedāvāto risinājumu cenā ietilpst arī konsultācijas par produktu, tā konfigurāciju. Katalogs būs pieejams EDIC tīmekļvietnē. Katalogā nebūs pieejami pakalpojumu sniedzēji, kas nodrošina konsultāciju sniegšanu par digitalizācijas (procesu un produktu) un inovāciju attīstības stratēģiju.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sīkiem (mikro), maziem komersantiem, kas izvēlas digitālos risinājumus no kataloga, ir attiecināmi Ministru kabineta 2017. gada 28. februāra noteikumi Nr. 104 “Noteikumi par iepirkuma procedūru un tās piemērošanas kārtību pasūtītāja finansētiem projektiem” (turpmāk – MKN Nr. 104). Atbilstoši MKN Nr. 104 5.1.apakšpunktam, gala labuma guvējs ir tiesīgs nepiemērot atbalsta programmas IV nodaļā minētos nosacījumus, lai noslēgtu piegādes vai pakalpojumu līgumu, kura paredzamā līgumcena ir mazāka par 70 000</w:t>
      </w:r>
      <w:r w:rsidR="00000000" w:rsidRPr="00000000" w:rsidDel="00000000">
        <w:rPr>
          <w:i w:val="1"/>
          <w:rtl w:val="0"/>
        </w:rPr>
        <w:t xml:space="preserve"> euro</w:t>
      </w:r>
      <w:r w:rsidR="00000000" w:rsidRPr="00000000" w:rsidDel="00000000">
        <w:rPr>
          <w:rtl w:val="0"/>
        </w:rPr>
        <w:t xml:space="preserve">. Ja sīkais (mikro), mazais komersants slēdz līgumu, kura paredzamā līgumcena ir līdz 70 000 </w:t>
      </w:r>
      <w:r w:rsidR="00000000" w:rsidRPr="00000000" w:rsidDel="00000000">
        <w:rPr>
          <w:i w:val="1"/>
          <w:rtl w:val="0"/>
        </w:rPr>
        <w:t xml:space="preserve">euro</w:t>
      </w:r>
      <w:r w:rsidR="00000000" w:rsidRPr="00000000" w:rsidDel="00000000">
        <w:rPr>
          <w:rtl w:val="0"/>
        </w:rPr>
        <w:t xml:space="preserve">, tas ir tiesīgs līguma noslēgšanai nepiemērot MKN Nr. 104 IV nodaļas noteikumus par līguma slēgšanas tiesību piešķiršanas kārtību, tomēr tam jāievēro MKN Nr. 104 III nodaļas noteikumi par līgumu slēgšanas ierobežojumiem (interešu konflikta novēršanu), kā arī, ciktāl attiecināms, būtu piemērojams arī V un VI nodaļas regulējums (līguma grozījumi un līgumcenas pamatotības izvērtēšana) un I un II nodaļas vispārīgie noteikumi. Vienlaikus ar pakalpojuma sniedzēja izvēli katalogā jāievēro attiecīgajā gadījumā (atkarībā no noslēdzamā līguma līgumcenas) piemērojamās MKN Nr. 104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ieguldījumiem gala labuma guvējam Latvijas Investīciju un attīstības aģentūrā būs jāiesniedz izmaksu pamatojošā dokumentācija – līgums ar izvēlēto pakalpojumu sniedzēju, pieņemšanas-nodošanas akts, rēķins u.c. līgumā starp Latvijas Investīciju un attīstības aģentūru un gala labuma guvēju noteiktā izmaksu pamatojošā dokumentācija, kā arī otrreizējais digitālā brieduma tests un EDIC izsniegts atzinums. Latvijas investīciju un attīstības aģentūra veiks pārbaudes par izmaksu pamatojošās dokumentācijas, ko izskata ne vēlāk kā 30 dienu laikā no saņemšanas dienas, atbilstību šajos noteikumos, Latvijas Investīciju un attīstības aģentūras iekšējā kārtībā un līgumā starp Latvijas Investīciju un attīstības aģentūru un gala labuma guvēju noteiktajam. Apmaksa tiks veikta pakalpojuma sniedzējam attiecināmās atbalsta intensitātes apmērā, pārējo izmaksu daļu, kas norādīta pakalpojuma sniedzēja rēķinā, segs gala labuma guvējs, ieskaitot pievienotās vērtības nodokli (turpmāk -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ir saistītas ar digitālo tehnoloģiju risinājumiem gala labuma guvēja komercdarbībā. Gala labuma guvējs var veikt ieguldījumus iekšējās funkcijās un procesos, tai skaitā citu ar informācijas un komunikācijas tehnoloģiju  produktiem, tehnoloģijām, drošību vai procesiem saistītu uzlabojumu veikšanai, kur atbalsts pieejams arī sistēmu atjauninājumiem, iekārtu papildinājumiem ar vēl citiem sensoriem, ārpus jau eksistējošajiem un to saslēgšanai vienotā sistēmā, gala labuma guvēju digitālo risinājumu pilnveidei, pielāgojot tos informācijas apmaiņai ar valsts pārvaldes digitālajām platformām, piemēram e-adresi, savietotāju / DAGR, nacionālos eID un eParaksta līdzekļus u.tml. Personāla vadības procesi kā cilvēku resursu vadība, motivācija ietver arī darbinieku darba drošību un aizsardzību, ņemot vērā gūto pieredzi un izaicinājumus Covid-19 pandēmijas laikā, kā arī, ņemot vērā hibrīdkara situāciju, atbalsts gala labuma guvējiem paredzēts arī kiberdrošības problēmjautājumu risināšanai, lai nodrošinātu jau ekspluatējamo informācijas sistēmu un programmatūras drošības testus, atrastu trūkumus un tos novērstu, tādējādi nostiprinot gala labuma guvēja IT infrastruktūru.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Attiecināmās izmaksas un izmaksas, kas netiek segtas no Atveseļošanas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i w:val="1"/>
          <w:rtl w:val="0"/>
        </w:rPr>
        <w:t xml:space="preserve">atvijas Investīciju un attīstības aģentūrai attiecināmās izmaksas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-personāla un administrēšanas izmaksas (personāla atlīdzības izmaksas, tai skaitā darba samaksa, valsts sociālās apdrošināšanas obligātās iemaksas, pabalsti un kompensācijas; darba vietas nodrošināšanas izmaksas)</w:t>
      </w:r>
      <w:r w:rsidR="00000000" w:rsidRPr="00000000" w:rsidDel="00000000">
        <w:rPr>
          <w:rtl w:val="0"/>
        </w:rPr>
        <w:t xml:space="preserve">-informatīvo pasākumu izmaksas mērķgrupas uzrunāšanai;</w:t>
      </w:r>
      <w:r w:rsidR="00000000" w:rsidRPr="00000000" w:rsidDel="00000000">
        <w:rPr>
          <w:rtl w:val="0"/>
        </w:rPr>
        <w:t xml:space="preserve">-datu bāzes, piemēram, Lursoft, abonēšanas maksa un informācijas sistēmas "Valsts platforma biznesa attīstībai" pilnveidošanai nepieciešamās izmaksas. Informācijas sistēmas "Valsts platforma biznesa attīstībai" pilnveidošanai nepieciešamās izmaksas neietekmē atbalsta programmas un rādītāju sasniegšanu, kā arī tās neaizvieto ikdienas Latvijas Investīciju un attīstības aģentūras izdevumus.</w:t>
      </w:r>
      <w:r w:rsidR="00000000" w:rsidRPr="00000000" w:rsidDel="00000000">
        <w:rPr>
          <w:rtl w:val="0"/>
        </w:rPr>
        <w:t xml:space="preserve">Attiecināmās izmaksas ir Latvijas Investīciju un attīstības aģentūras valsts noteiktās funkcijas īstenošanas nodrošināšanai saskaņā ar Ministru kabineta 2012. gada 11. decembra noteikumiem Nr. 857 "Latvijas Investīciju un attīstības aģentūras nolikums", līdz ar to Atveseļošanas fonda finansējums netiks sniegts saimnieciskās darbības veikšanai un attiecībā uz Latvijas Investīciju un attīstības aģentūru nav jāpiemēro komercdarbības atbalsta regulējums.</w:t>
      </w:r>
      <w:r w:rsidR="00000000" w:rsidRPr="00000000" w:rsidDel="00000000">
        <w:rPr>
          <w:i w:val="1"/>
          <w:rtl w:val="0"/>
        </w:rPr>
        <w:t xml:space="preserve">Gala labuma guvējiem attiecināmās izmaksas ir:</w:t>
      </w:r>
      <w:r w:rsidR="00000000" w:rsidRPr="00000000" w:rsidDel="00000000">
        <w:rPr>
          <w:rtl w:val="0"/>
        </w:rPr>
        <w:t xml:space="preserve">- gatavo risinājumu, aparatūras, sensoru, iekārtu, programmatūras un informācijas tehnoloģiju infrastruktūras iegādes, uzstādīšanas un pielāgošanas izmaksas;</w:t>
      </w:r>
      <w:r w:rsidR="00000000" w:rsidRPr="00000000" w:rsidDel="00000000">
        <w:rPr>
          <w:rtl w:val="0"/>
        </w:rPr>
        <w:t xml:space="preserve">- konsultāciju izmaksas sīkiem (mikro), maziem un vidējiem komersantiem. Paredzēts, ka gala labuma guvējs var saņemt konsultācijas par konkrēto iekārtu, programmatūru, risinājumu, kā arī konsultācijas par komercdarbības stratēģisko vadību digitalizācijas jomā. Konsultāciju izmaksas nav pastāvīga vai periodiska darbība, nav saistīta ar komersanta parastajām darbības izmaksām, piemēram, kārtējiem nodokļu konsultāciju pakalpojumiem, regulāriem juridiskajiem pakalpojumiem vai reklāmas pakalpojumiem. Latvijas Investīcijas un attīstības aģentūras piešķirto vaučeri nevar pilnībā izmantot tikai konsultāciju pakalpojumiem, jo atbalsta programmas mērķis ir veicināt procesu digitalizāciju komercdarbībā, sniedzot atbalstu ieguldījumiem gatavos risinājumos.</w:t>
      </w:r>
      <w:r w:rsidR="00000000" w:rsidRPr="00000000" w:rsidDel="00000000">
        <w:rPr>
          <w:rtl w:val="0"/>
        </w:rPr>
        <w:t xml:space="preserve">- limitētas periodiskas izmaksas programmatūras lietošanai. Atbalsts ļauj gala labuma guvējam ne tikai iegādāties iekārtu, bet arī nodrošināt programmatūras risinājuma periodisko izmaksu segšanu, kas var būt saistīta ar iekārtu. Iegādātās iekārtas darbības nodrošināšanai ir nepieciešama programmatūra un iekārtas ražotājs vai kāds alternatīvs programmatūras izstrādātājs piedāvā šo programmatūru īrēt uz iekārtas lietošanas termiņu, kas ietvertu pašu programmatūru, saziņu ar izstrādātāju problēmu gadījumā, sistēmas regulārus atjauninājumus, pielāgošanu gala labuma guvēja vajadzībām. Šādu programmatūru gandrīz nekad nevar nopirkt par vienu konkrētu summu vienā maksājumā uz visu atlikušo lietošanas laiku, tādēļ tā ir periodiska (ikmēneša, ceturkšņa vai gada) programmatūras lietošanas maksa, un tas nodrošinātu gala labuma guvējiem ne tikai iegādāties iekārtu, bet arī programmatūras risinājuma periodisko izmaksu segšanu, kas var būt saistīta ar iekārtu. Šādas izmaksas atbilst Eiropas Komisijas 2014. gada 17. jūnija Regula (ES) Nr. 651/2014, ar ko noteiktas atbalsta kategorijas atzīst par saderīgām ar iekšējo tirgu, piemērojot Līguma 107. un 108. pantu (turpmāk - Komisijas regula Nr. 651/2014) 2. panta 49. apakšpunktā minētajai sākotnējo ieguldījumu definīcijai, jo tas ir ieguldījums nemateriālajos aktīvos. Maksimālā summa periodiskajām izmaksām nevar pārsniegt vienam komersantam pieļaujamo maksimālo atbalsta apmēru līdz 5000</w:t>
      </w:r>
      <w:r w:rsidR="00000000" w:rsidRPr="00000000" w:rsidDel="00000000">
        <w:rPr>
          <w:i w:val="1"/>
          <w:rtl w:val="0"/>
        </w:rPr>
        <w:t xml:space="preserve"> euro</w:t>
      </w:r>
      <w:r w:rsidR="00000000" w:rsidRPr="00000000" w:rsidDel="00000000">
        <w:rPr>
          <w:rtl w:val="0"/>
        </w:rPr>
        <w:t xml:space="preserve"> (sīkiem (mikro), maziem komersantiem) vai līdz 100 000 </w:t>
      </w:r>
      <w:r w:rsidR="00000000" w:rsidRPr="00000000" w:rsidDel="00000000">
        <w:rPr>
          <w:i w:val="1"/>
          <w:rtl w:val="0"/>
        </w:rPr>
        <w:t xml:space="preserve">euro </w:t>
      </w:r>
      <w:r w:rsidR="00000000" w:rsidRPr="00000000" w:rsidDel="00000000">
        <w:rPr>
          <w:rtl w:val="0"/>
        </w:rPr>
        <w:t xml:space="preserve">apmērā (sīkiem (mikro), maziem, vidējiem, lieliem komersantiem, biedrībām un nodibinājumiem, pētniecības un zināšanu izplatīšanas organizācijām), kas ietver arī nepieciešamo iekārtu iegādi un programmatūras abonementa termiņš nevar pārsniegt atbalsta programmas pieejamības termiņu.</w:t>
      </w:r>
      <w:r w:rsidR="00000000" w:rsidRPr="00000000" w:rsidDel="00000000">
        <w:rPr>
          <w:rtl w:val="0"/>
        </w:rPr>
        <w:t xml:space="preserve">Gala labuma labuma guvējam attiecināmas ir izmaksas par ieguldījumiem aktīvos, kas saistīti ar modernizācijas procesu, atbilst Komisijas regulas Nr. 651/2014 14. panta 7. punktā noteiktajām prasībām:</w:t>
      </w:r>
      <w:r w:rsidR="00000000" w:rsidRPr="00000000" w:rsidDel="00000000">
        <w:rPr>
          <w:rtl w:val="0"/>
        </w:rPr>
        <w:t xml:space="preserve">- attiecībā uz atbalstu, ko piešķir lielajiem komersantiem būtiskām pārmaiņām ražošanas procesā, attiecināmajām izmaksām jābūt lielākām nekā ar modernizējamo darbību saistīto aktīvu amortizācijai iepriekšējo triju fiskālo gadu laikā;</w:t>
      </w:r>
      <w:r w:rsidR="00000000" w:rsidRPr="00000000" w:rsidDel="00000000">
        <w:rPr>
          <w:rtl w:val="0"/>
        </w:rPr>
        <w:t xml:space="preserve">- attiecībā uz atbalstu, ko piešķir lielajiem komersantiem esošas uzņēmējdarbības vietas darbības dažādošanai, attiecināmajām izmaksām vismaz par 200 % jāpārsniedz atkārtoti izmantoto aktīvu uzskaites vērtība, kas reģistrēta iepriekšējā fiskālajā gadā pirms darbu sākšanas.</w:t>
      </w:r>
      <w:r w:rsidR="00000000" w:rsidRPr="00000000" w:rsidDel="00000000">
        <w:rPr>
          <w:rtl w:val="0"/>
        </w:rPr>
        <w:t xml:space="preserve">Gala labuma guvējs investīciju projekta atbalstāmās darbības var uzsākt tikai pēc atbalsta pieteikuma iesniegšanas Latvijas Investīciju un attīstības aģentūrā, lai tiktu ievērota stimulējošā ietekme. Ja atbalsta pieteikums netiek apstiprināts, gala labuma guvējs visas investīciju projekta izmaksas sedz no saviem līdzekļiem. Pirms atbalsta pieteikuma iesniegšanas nedrīkst būt uzsākti darbi pie investīciju projekta vai uzņemtas nekādas juridiskās saistības, kas ieguldījumu padarītu neatgriezenisku. Darbu sākuma definīcija atbilstoši Komisijas regulas Nr. 651/2014 2. panta 23. punktā noteiktajam: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r w:rsidR="00000000" w:rsidRPr="00000000" w:rsidDel="00000000">
        <w:rPr>
          <w:rtl w:val="0"/>
        </w:rPr>
        <w:t xml:space="preserve">Finanšu ministrijas izstrādātajā informatīvajā ziņojumā “Informatīvais ziņojums par Kohēzijas politikas Eiropas Savienības fondu investīciju aktualitātēm līdz 2022. gada 1. februārim (pusgada ziņojums)” 22-TA-417, kas apstiprināts 2022. gada 22. marta Ministru kabineta sēdē (protokols Nr. 17/34. §), ir noteikts, ka valsts budžeta iestādes PVN sedz no valsts budžeta līdzekļiem. Latvijas Investīciju un attīstības aģentūras radušās PVN izmaksas paredzēts pieprasīt un segt no valsts budžeta līdzekļiem. Latvijas Investīciju un attīstībai aģentūrai būs nepieciešams nodrošināt atsevišķu PVN izmaksu uzskaiti un nodalīšanu un pirms finansējuma saņemšanas PVN izmaksu apmērā, iesniegt Ekonomikas ministrijai apliecinājumu, ka minētās summas nav un netiks atgūtas no valsts budžeta priekšnodokļa veidā. </w:t>
      </w:r>
      <w:r w:rsidR="00000000" w:rsidRPr="00000000" w:rsidDel="00000000">
        <w:rPr>
          <w:rtl w:val="0"/>
        </w:rPr>
        <w:t xml:space="preserve">Gala labuma guvējiem atbalsta programmā PVN izmaksas jāsedz no saviem privātajiem finanšu līdzekļiem vai cita piesaistīta finansējuma, kas nav Atveseļošanas fonda finansējums. </w:t>
      </w:r>
      <w:r w:rsidR="00000000" w:rsidRPr="00000000" w:rsidDel="00000000">
        <w:rPr>
          <w:b w:val="1"/>
          <w:rtl w:val="0"/>
        </w:rPr>
        <w:t xml:space="preserve">Principa “Nenodarīt būtisku kaitējumu” ievērošana</w:t>
      </w:r>
      <w:r w:rsidR="00000000" w:rsidRPr="00000000" w:rsidDel="00000000">
        <w:rPr>
          <w:rtl w:val="0"/>
        </w:rPr>
        <w:t xml:space="preserve">Atveseļošanas fonda plāna 1. pielikumā “Principa Nenodarīt būtisku kaitējumu novērtējums” ietvertajā novērtējumā atbalsta programmas ietvaros paredzētajām atbalstāmajām darbībām ir nebūtiska vai neesoša paredzamā ietekme uz visiem vides mērķiem, vērtējot gan tiešās, gan primārās netiešās sekas visā aprites ciklā.</w:t>
      </w:r>
      <w:r w:rsidR="00000000" w:rsidRPr="00000000" w:rsidDel="00000000">
        <w:rPr>
          <w:rtl w:val="0"/>
        </w:rPr>
        <w:t xml:space="preserve">Lai nodrošinātu, ka  atbalstāmās darbības nerada būtisku ietekmi uz vides mērķiem, gala labuma guvēja līgumā ar Latvijas Investīciju un attīstības aģentūru tiks iekļauta informācija par būtiska kaitējuma nodarošo iniciatīvu neatbalstīšanu.</w:t>
      </w:r>
      <w:r w:rsidR="00000000" w:rsidRPr="00000000" w:rsidDel="00000000">
        <w:rPr>
          <w:b w:val="1"/>
          <w:rtl w:val="0"/>
        </w:rPr>
        <w:t xml:space="preserve">Datu ievade Vadības informācijas sistēmā</w:t>
      </w:r>
      <w:r w:rsidR="00000000" w:rsidRPr="00000000" w:rsidDel="00000000">
        <w:rPr>
          <w:rtl w:val="0"/>
        </w:rPr>
        <w:t xml:space="preserve">Latvijas Investīciju un attīstības aģentūra ir atbildīga par informācijas un saistošo datu ievadi Vadības informācijas sistēmā, kas ir Centrālās finanšu un līgumu aģentūras administrēta sistēma. Vienošanās, kas tiks slēgta starp Ekonomikas ministriju un Latvijas Investīciju un attīstības aģentūru par atbalsta programmas īstenošanu, tiks noteikts:</w:t>
      </w:r>
      <w:r w:rsidR="00000000" w:rsidRPr="00000000" w:rsidDel="00000000">
        <w:rPr>
          <w:rtl w:val="0"/>
        </w:rPr>
        <w:t xml:space="preserve">- informācijas ievades apjoms, t.sk. vai nepieciešams uzkrāt datus par atbalstu saņēmušiem gala labuma guvējiem;</w:t>
      </w:r>
      <w:r w:rsidR="00000000" w:rsidRPr="00000000" w:rsidDel="00000000">
        <w:rPr>
          <w:rtl w:val="0"/>
        </w:rPr>
        <w:t xml:space="preserve">- datu ievades regularitāte, kas ir nepieciešama, lai uzraudzītu Atveseļošanas fonda ieviešanas progresu un nodrošinātu datu pieejamību un to apstrādi atbilstoši Atveseļošanas fonda īstenošanas uzraudzības kārtībā noteiktajam;</w:t>
      </w:r>
      <w:r w:rsidR="00000000" w:rsidRPr="00000000" w:rsidDel="00000000">
        <w:rPr>
          <w:rtl w:val="0"/>
        </w:rPr>
        <w:t xml:space="preserve">- atbildības sadalījums datu ievadē, tai skaitā par sākotnējo datu ievadi. Plānots, ka sākotnējo datu ievadi nodrošinās Latvijas Investīciju un attīstības aģentūra.</w:t>
      </w:r>
      <w:r w:rsidR="00000000" w:rsidRPr="00000000" w:rsidDel="00000000">
        <w:rPr>
          <w:rtl w:val="0"/>
        </w:rPr>
        <w:t xml:space="preserve">- nepieciešamo pamatojošo dokumentu par atbalsta programmas starpposma mērķu un mērķu sasniegšanu augšupielādes apjomu un regularitāti.</w:t>
      </w:r>
      <w:r w:rsidR="00000000" w:rsidRPr="00000000" w:rsidDel="00000000">
        <w:rPr>
          <w:rtl w:val="0"/>
        </w:rPr>
        <w:t xml:space="preserve">Informācija par konkrētiem datu laukiem un to apjomu tiks iekļauta vienošanās starp Ekonomikas ministriju un Latvijas Investīciju un attīstības aģentūru. Paredzēts, ka Latvijas Investīciju un attīstības aģentūra maksājuma pieprasījumu, kā arī sasniegto uzraudzības rādītāju un mērķu pamatojošos dokumentus iesniegs Vadības informācijas sistēmā ne biežāk kā divas reizes gadā.</w:t>
      </w:r>
      <w:r w:rsidR="00000000" w:rsidRPr="00000000" w:rsidDel="00000000">
        <w:rPr>
          <w:b w:val="1"/>
          <w:rtl w:val="0"/>
        </w:rPr>
        <w:t xml:space="preserve">Pieeja datiem valsts informācijas sistēmās</w:t>
      </w:r>
      <w:r w:rsidR="00000000" w:rsidRPr="00000000" w:rsidDel="00000000">
        <w:rPr>
          <w:rtl w:val="0"/>
        </w:rPr>
        <w:t xml:space="preserve">Ministru kabineta noteikumu projekts paredz, ka Latvijas Investīciju un attīstības aģentūrai ir tiesības bez maksas pieprasīt un saņemt tiešu pieeju datiem valsts informācijas sistēmās tādā apjomā, kāds nepieciešams atbalsta programmas īstenošanai un atbalsta sniegšanai gala labuma guvējiem. Lai arī parasti attiecīgs nosacījums ir nosakāms augstāka spēka normatīvajā aktā, Atveseļošanas fonda gadījumā nav likuma, tāpēc kā piemērotākais normatīvais akts, kurā noteikt šīs tiesības, ir Ministru kabineta noteikumu projekts. </w:t>
      </w:r>
      <w:r w:rsidR="00000000" w:rsidRPr="00000000" w:rsidDel="00000000">
        <w:rPr>
          <w:rtl w:val="0"/>
        </w:rPr>
        <w:t xml:space="preserve">Latvijas Investīciju un attīstības aģentūru kā finansējuma saņēmējam ir pienākums piešķirt un nodrošināt atbalsta programmas finansējuma izlietojumu gala labuma guvējiem. Veicot pārbaudes, ir nepieciešams gūt pārliecību par nosacījumu atbilstību, izmantojot valsts informācijas sistēmas pieejamo informāciju par gala labuma guvēju, tā juridisko statusu, finanšu informāciju, datu ticamību par personas datiem, tā saistībām, u.t.t.</w:t>
      </w:r>
      <w:r w:rsidR="00000000" w:rsidRPr="00000000" w:rsidDel="00000000">
        <w:rPr>
          <w:rtl w:val="0"/>
        </w:rPr>
        <w:t xml:space="preserve">Izvērtēšana ir būtisks elements, lai nodrošinātu atbalsta saņemšanas noteikumiem atbilstošus investīciju projektus un novērstu neatbilstības riskus.</w:t>
      </w:r>
      <w:r w:rsidR="00000000" w:rsidRPr="00000000" w:rsidDel="00000000">
        <w:rPr>
          <w:rtl w:val="0"/>
        </w:rPr>
        <w:t xml:space="preserve">Latvijas Investīciju un attīstības aģentūras tiesības bez maksas pieprasīt un saņemt tiešu pieeju datiem valsts informācijas sistēmās var būt īstenojama gadījumos, kad attiecīgo valsts informācijas sistēmu darbību normatīvais regulējums to paredz. </w:t>
      </w:r>
      <w:r w:rsidR="00000000" w:rsidRPr="00000000" w:rsidDel="00000000">
        <w:rPr>
          <w:i w:val="1"/>
          <w:rtl w:val="0"/>
        </w:rPr>
        <w:t xml:space="preserve">Datubāzes:</w:t>
      </w:r>
      <w:r w:rsidR="00000000" w:rsidRPr="00000000" w:rsidDel="00000000">
        <w:rPr>
          <w:rtl w:val="0"/>
        </w:rPr>
        <w:t xml:space="preserve">Uzņēmumu reģistra pārziņā esošie reģistri: Uzņēmumu reģistrs/Komercreģistrs /Maksātnespējas reģistrs/</w:t>
      </w:r>
      <w:r w:rsidR="00000000" w:rsidRPr="00000000" w:rsidDel="00000000">
        <w:rPr>
          <w:rtl w:val="0"/>
        </w:rPr>
        <w:t xml:space="preserve">Sodu reģistrs;</w:t>
      </w:r>
      <w:r w:rsidR="00000000" w:rsidRPr="00000000" w:rsidDel="00000000">
        <w:rPr>
          <w:rtl w:val="0"/>
        </w:rPr>
        <w:t xml:space="preserve">Publiskā Valsts ieņēmumu dienesta datu bāze;</w:t>
      </w:r>
      <w:r w:rsidR="00000000" w:rsidRPr="00000000" w:rsidDel="00000000">
        <w:rPr>
          <w:i w:val="1"/>
          <w:rtl w:val="0"/>
        </w:rPr>
        <w:t xml:space="preserve">De minimis</w:t>
      </w:r>
      <w:r w:rsidR="00000000" w:rsidRPr="00000000" w:rsidDel="00000000">
        <w:rPr>
          <w:rtl w:val="0"/>
        </w:rPr>
        <w:t xml:space="preserve"> atbalsta uzskaites sistēma.</w:t>
      </w:r>
      <w:r w:rsidR="00000000" w:rsidRPr="00000000" w:rsidDel="00000000">
        <w:rPr>
          <w:rtl w:val="0"/>
        </w:rPr>
        <w:t xml:space="preserve">Latvijas Investīciju un attīstības aģentūra ir noslēgusi starpresoru vienošanos ar Uzņēmuma reģistru, tādēļ atsevišķs saskaņojums par Uzņēmumu reģistra pārziņā esošajiem reģistriem nav nepieciešams, savukārt Valsts ieņēmumu dienesta publiskā datu bāze ir visiem publiski pieejama, atsevišķs saskaņojums nav nepieciešams. Latvijas Investīciju un attīstības aģentūra Finanšu ministrijai lūgs nodrošināt piekļuvi</w:t>
      </w:r>
      <w:r w:rsidR="00000000" w:rsidRPr="00000000" w:rsidDel="00000000">
        <w:rPr>
          <w:i w:val="1"/>
          <w:rtl w:val="0"/>
        </w:rPr>
        <w:t xml:space="preserve"> de minimis</w:t>
      </w:r>
      <w:r w:rsidR="00000000" w:rsidRPr="00000000" w:rsidDel="00000000">
        <w:rPr>
          <w:rtl w:val="0"/>
        </w:rPr>
        <w:t xml:space="preserve"> atbalsta uzskaites sistēmai, kad tas būs nepieciešams, atsevišķs saskaņojums nav nepieciešams.</w:t>
      </w:r>
      <w:r w:rsidR="00000000" w:rsidRPr="00000000" w:rsidDel="00000000">
        <w:rPr>
          <w:b w:val="1"/>
          <w:rtl w:val="0"/>
        </w:rPr>
        <w:t xml:space="preserve">Komercdarbības atbalsta piešķiršana</w:t>
      </w:r>
      <w:r w:rsidR="00000000" w:rsidRPr="00000000" w:rsidDel="00000000">
        <w:rPr>
          <w:rtl w:val="0"/>
        </w:rPr>
        <w:t xml:space="preserve">Lai nodrošinātu vienotu pieeju un vienādas intensitātes visiem gala labuma guvējiem, noteikumu projekts paredz de minimis un GBER intensitāšu izlīdzināšanu.</w:t>
      </w:r>
      <w:r w:rsidR="00000000" w:rsidRPr="00000000" w:rsidDel="00000000">
        <w:rPr>
          <w:rtl w:val="0"/>
        </w:rPr>
        <w:t xml:space="preserve">Atveseļošanas fonda finansējuma ietvaros gala labuma guvējam paredzēti šādi komercdarbības atbalsta nosacījumi:</w:t>
      </w:r>
      <w:r w:rsidR="00000000" w:rsidRPr="00000000" w:rsidDel="00000000">
        <w:rPr>
          <w:b w:val="1"/>
          <w:i w:val="1"/>
          <w:rtl w:val="0"/>
        </w:rPr>
        <w:t xml:space="preserve">Atbalsts </w:t>
      </w:r>
      <w:r w:rsidR="00000000" w:rsidRPr="00000000" w:rsidDel="00000000">
        <w:rPr>
          <w:b w:val="1"/>
          <w:i w:val="1"/>
          <w:rtl w:val="0"/>
        </w:rPr>
        <w:t xml:space="preserve">Komisijas regulas Nr. 651/2014 ietvaros:</w:t>
      </w:r>
      <w:r w:rsidR="00000000" w:rsidRPr="00000000" w:rsidDel="00000000">
        <w:rPr>
          <w:rtl w:val="0"/>
        </w:rPr>
        <w:t xml:space="preserve">- sīkam (mikro), mazam, vidējam komersantam, pētniecības un zināšanu izplatīšanas organizācijai, kas neatbilst lielā komersanta statusam, atbalsts tiek sniegts saskaņā ar Komisijas regulas Nr. 651/2014 </w:t>
      </w:r>
      <w:r w:rsidR="00000000" w:rsidRPr="00000000" w:rsidDel="00000000">
        <w:rPr>
          <w:u w:val="single"/>
          <w:rtl w:val="0"/>
        </w:rPr>
        <w:t xml:space="preserve">14. pantu (reģionālais atbalsts) un 18. pantu (konsultāciju pakalpojumi)</w:t>
      </w:r>
      <w:r w:rsidR="00000000" w:rsidRPr="00000000" w:rsidDel="00000000">
        <w:rPr>
          <w:rtl w:val="0"/>
        </w:rPr>
        <w:t xml:space="preserve"> un kopējais pieejamais Atveseļošanas fonda finansējuma apmērs ir 36 000 000 </w:t>
      </w:r>
      <w:r w:rsidR="00000000" w:rsidRPr="00000000" w:rsidDel="00000000">
        <w:rPr>
          <w:i w:val="1"/>
          <w:rtl w:val="0"/>
        </w:rPr>
        <w:t xml:space="preserve">euro, </w:t>
      </w:r>
      <w:r w:rsidR="00000000" w:rsidRPr="00000000" w:rsidDel="00000000">
        <w:rPr>
          <w:rtl w:val="0"/>
        </w:rPr>
        <w:t xml:space="preserve">ja</w:t>
      </w:r>
      <w:r w:rsidR="00000000" w:rsidRPr="00000000" w:rsidDel="00000000">
        <w:rPr>
          <w:i w:val="1"/>
          <w:rtl w:val="0"/>
        </w:rPr>
        <w:t xml:space="preserve"> </w:t>
      </w:r>
      <w:r w:rsidR="00000000" w:rsidRPr="00000000" w:rsidDel="00000000">
        <w:rPr>
          <w:rtl w:val="0"/>
        </w:rPr>
        <w:t xml:space="preserve">atbalsts ir nepieciešams ieguldījumiem virs 5000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rtl w:val="0"/>
        </w:rPr>
        <w:t xml:space="preserve">- lielam komersantam un pētniecības un zināšanu izplatīšanas organizācijai, kas atbilst lielā komersanta statusam, atbalsts tiek sniegts saskaņā ar Komisijas regulas Nr. 651/2014 </w:t>
      </w:r>
      <w:r w:rsidR="00000000" w:rsidRPr="00000000" w:rsidDel="00000000">
        <w:rPr>
          <w:u w:val="single"/>
          <w:rtl w:val="0"/>
        </w:rPr>
        <w:t xml:space="preserve">14. pantu</w:t>
      </w:r>
      <w:r w:rsidR="00000000" w:rsidRPr="00000000" w:rsidDel="00000000">
        <w:rPr>
          <w:rtl w:val="0"/>
        </w:rPr>
        <w:t xml:space="preserve"> un kopējais pieejamais Atveseļošanas fonda finansējuma apmērs ir 36 000 000 </w:t>
      </w:r>
      <w:r w:rsidR="00000000" w:rsidRPr="00000000" w:rsidDel="00000000">
        <w:rPr>
          <w:i w:val="1"/>
          <w:rtl w:val="0"/>
        </w:rPr>
        <w:t xml:space="preserve">euro, </w:t>
      </w:r>
      <w:r w:rsidR="00000000" w:rsidRPr="00000000" w:rsidDel="00000000">
        <w:rPr>
          <w:rtl w:val="0"/>
        </w:rPr>
        <w:t xml:space="preserve">ja atbalsts ir nepieciešams ieguldījumiem virs 5000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rtl w:val="0"/>
        </w:rPr>
        <w:t xml:space="preserve">Ja sīkais (mikro), mazais, vidējais, lielais komersants, pētniecības un zināšanu izplatīšanas organizācija darbojas Komisijas regulas Nr. 651/2014 noteiktajās </w:t>
      </w:r>
      <w:r w:rsidR="00000000" w:rsidRPr="00000000" w:rsidDel="00000000">
        <w:rPr>
          <w:u w:val="single"/>
          <w:rtl w:val="0"/>
        </w:rPr>
        <w:t xml:space="preserve">neatbalstāmajās</w:t>
      </w:r>
      <w:r w:rsidR="00000000" w:rsidRPr="00000000" w:rsidDel="00000000">
        <w:rPr>
          <w:rtl w:val="0"/>
        </w:rPr>
        <w:t xml:space="preserve"> nozarēs un darbībās, atbalsts tiek sniegts kā </w:t>
      </w:r>
      <w:r w:rsidR="00000000" w:rsidRPr="00000000" w:rsidDel="00000000">
        <w:rPr>
          <w:i w:val="1"/>
          <w:rtl w:val="0"/>
        </w:rPr>
        <w:t xml:space="preserve">de minimis </w:t>
      </w:r>
      <w:r w:rsidR="00000000" w:rsidRPr="00000000" w:rsidDel="00000000">
        <w:rPr>
          <w:rtl w:val="0"/>
        </w:rPr>
        <w:t xml:space="preserve">atbalsts.</w:t>
      </w:r>
      <w:r w:rsidR="00000000" w:rsidRPr="00000000" w:rsidDel="00000000">
        <w:rPr>
          <w:b w:val="1"/>
          <w:rtl w:val="0"/>
        </w:rPr>
        <w:t xml:space="preserve">Maksimāli </w:t>
      </w:r>
      <w:r w:rsidR="00000000" w:rsidRPr="00000000" w:rsidDel="00000000">
        <w:rPr>
          <w:rtl w:val="0"/>
        </w:rPr>
        <w:t xml:space="preserve">pieļaujamā atbalsta intensitāte no investīciju projekta attiecināmajām izmaksām, ja atbalstu sniedz saskaņā ar Komisijas regulas Nr. 651/2014 </w:t>
      </w:r>
      <w:r w:rsidR="00000000" w:rsidRPr="00000000" w:rsidDel="00000000">
        <w:rPr>
          <w:b w:val="1"/>
          <w:rtl w:val="0"/>
        </w:rPr>
        <w:t xml:space="preserve">14. pantu</w:t>
      </w:r>
      <w:r w:rsidR="00000000" w:rsidRPr="00000000" w:rsidDel="00000000">
        <w:rPr>
          <w:rtl w:val="0"/>
        </w:rPr>
        <w:t xml:space="preserve"> sīkam (mikro), mazam, vidējam, lielam komersantam, pētniecības un zināšanu izplatīšanas organizācijai:</w:t>
      </w:r>
      <w:r w:rsidR="00000000" w:rsidRPr="00000000" w:rsidDel="00000000">
        <w:rPr>
          <w:rtl w:val="0"/>
        </w:rPr>
        <w:t xml:space="preserve">- Rīgā un Pierīgas kopējas statistiski teritoriālo vienību klasifikācijas (turpmāk - NUTS) 3. līmeņa reģionā ir 30 % (lieliem komersantiem) vai 40 % (vidējiem komersantiem) vai 50 % (sīkiem (mikro) vai maziem komersantiem); </w:t>
      </w:r>
      <w:r w:rsidR="00000000" w:rsidRPr="00000000" w:rsidDel="00000000">
        <w:rPr>
          <w:rtl w:val="0"/>
        </w:rPr>
        <w:t xml:space="preserve">- Kurzemes, Zemgales, Vidzemes un Latgales NUTS 3. līmeņa reģionā ir 40 % (lieliem komersantiem) vai 50 % (vidējiem komersantiem) vai 60 % (sīkiem (mikro), maziem komersantiem).</w:t>
      </w:r>
      <w:r w:rsidR="00000000" w:rsidRPr="00000000" w:rsidDel="00000000">
        <w:rPr>
          <w:b w:val="1"/>
          <w:rtl w:val="0"/>
        </w:rPr>
        <w:t xml:space="preserve">Maksimāli </w:t>
      </w:r>
      <w:r w:rsidR="00000000" w:rsidRPr="00000000" w:rsidDel="00000000">
        <w:rPr>
          <w:rtl w:val="0"/>
        </w:rPr>
        <w:t xml:space="preserve">pieļaujamā atbalsta intensitāte no investīciju projekta attiecināmajām izmaksām, ja atbalstu sniedz saskaņā ar Komisijas regulas Nr. 651/2014 </w:t>
      </w:r>
      <w:r w:rsidR="00000000" w:rsidRPr="00000000" w:rsidDel="00000000">
        <w:rPr>
          <w:b w:val="1"/>
          <w:rtl w:val="0"/>
        </w:rPr>
        <w:t xml:space="preserve">18. pantu</w:t>
      </w:r>
      <w:r w:rsidR="00000000" w:rsidRPr="00000000" w:rsidDel="00000000">
        <w:rPr>
          <w:rtl w:val="0"/>
        </w:rPr>
        <w:t xml:space="preserve"> sīkam (mikro), mazam, vidējam komersantam, pētniecības un zināšanu izplatīšanas organizācijai, kas neatbilst lielā komersanta statusam, ir 50%. </w:t>
      </w:r>
      <w:r w:rsidR="00000000" w:rsidRPr="00000000" w:rsidDel="00000000">
        <w:rPr>
          <w:b w:val="1"/>
          <w:i w:val="1"/>
          <w:rtl w:val="0"/>
        </w:rPr>
        <w:t xml:space="preserve">De minimis atbalsts (Komisijas regula Nr. 1407/2013 vai Komisijas regula Nr. 717/2014 vai Komisijas regula Nr. 1408/2013):</w:t>
      </w:r>
      <w:r w:rsidR="00000000" w:rsidRPr="00000000" w:rsidDel="00000000">
        <w:rPr>
          <w:rtl w:val="0"/>
        </w:rPr>
        <w:t xml:space="preserve">- sīkam (mikro), mazam komersantam, biedrībai un nodibinājumam tiek sniegts tikai kā </w:t>
      </w:r>
      <w:r w:rsidR="00000000" w:rsidRPr="00000000" w:rsidDel="00000000">
        <w:rPr>
          <w:i w:val="1"/>
          <w:rtl w:val="0"/>
        </w:rPr>
        <w:t xml:space="preserve">de minimis</w:t>
      </w:r>
      <w:r w:rsidR="00000000" w:rsidRPr="00000000" w:rsidDel="00000000">
        <w:rPr>
          <w:rtl w:val="0"/>
        </w:rPr>
        <w:t xml:space="preserve"> atbalsts. Sīkam (mikro), mazam komersantam kopējais pieejamais Atveseļošanas fonda finansējuma apmērs ir 1 000 000 </w:t>
      </w:r>
      <w:r w:rsidR="00000000" w:rsidRPr="00000000" w:rsidDel="00000000">
        <w:rPr>
          <w:i w:val="1"/>
          <w:rtl w:val="0"/>
        </w:rPr>
        <w:t xml:space="preserve">euro</w:t>
      </w:r>
      <w:r w:rsidR="00000000" w:rsidRPr="00000000" w:rsidDel="00000000">
        <w:rPr>
          <w:rtl w:val="0"/>
        </w:rPr>
        <w:t xml:space="preserve"> un biedrībai un nodibinājumam - 500 000 </w:t>
      </w:r>
      <w:r w:rsidR="00000000" w:rsidRPr="00000000" w:rsidDel="00000000">
        <w:rPr>
          <w:i w:val="1"/>
          <w:rtl w:val="0"/>
        </w:rPr>
        <w:t xml:space="preserve">euro</w:t>
      </w:r>
      <w:r w:rsidR="00000000" w:rsidRPr="00000000" w:rsidDel="00000000">
        <w:rPr>
          <w:rtl w:val="0"/>
        </w:rPr>
        <w:t xml:space="preserve">. Atbalsts pieejams arī konsultāciju izmaksām.</w:t>
      </w:r>
      <w:r w:rsidR="00000000" w:rsidRPr="00000000" w:rsidDel="00000000">
        <w:rPr>
          <w:rtl w:val="0"/>
        </w:rPr>
        <w:t xml:space="preserve">- ja sīkais (mikro), mazais, vidējais, lielais komersants, pētniecības un zināšanu izplatīšanas organizācija darbojas Komisijas regulas Nr. 651/2014 noteiktajās </w:t>
      </w:r>
      <w:r w:rsidR="00000000" w:rsidRPr="00000000" w:rsidDel="00000000">
        <w:rPr>
          <w:u w:val="single"/>
          <w:rtl w:val="0"/>
        </w:rPr>
        <w:t xml:space="preserve">neatbalstāmajās</w:t>
      </w:r>
      <w:r w:rsidR="00000000" w:rsidRPr="00000000" w:rsidDel="00000000">
        <w:rPr>
          <w:rtl w:val="0"/>
        </w:rPr>
        <w:t xml:space="preserve"> nozarēs un darbībās, atbalsts tiek sniegts kā </w:t>
      </w:r>
      <w:r w:rsidR="00000000" w:rsidRPr="00000000" w:rsidDel="00000000">
        <w:rPr>
          <w:i w:val="1"/>
          <w:rtl w:val="0"/>
        </w:rPr>
        <w:t xml:space="preserve">de minimis</w:t>
      </w:r>
      <w:r w:rsidR="00000000" w:rsidRPr="00000000" w:rsidDel="00000000">
        <w:rPr>
          <w:rtl w:val="0"/>
        </w:rPr>
        <w:t xml:space="preserve"> atbalsts un kopējais pieejamais Atveseļošanas fonda finansējuma apmērs ir 36 000 000 </w:t>
      </w:r>
      <w:r w:rsidR="00000000" w:rsidRPr="00000000" w:rsidDel="00000000">
        <w:rPr>
          <w:i w:val="1"/>
          <w:rtl w:val="0"/>
        </w:rPr>
        <w:t xml:space="preserve">euro</w:t>
      </w:r>
      <w:r w:rsidR="00000000" w:rsidRPr="00000000" w:rsidDel="00000000">
        <w:rPr>
          <w:rtl w:val="0"/>
        </w:rPr>
        <w:t xml:space="preserve"> un atbalsts ir nepieciešams ieguldījumiem virs 5000 </w:t>
      </w:r>
      <w:r w:rsidR="00000000" w:rsidRPr="00000000" w:rsidDel="00000000">
        <w:rPr>
          <w:i w:val="1"/>
          <w:rtl w:val="0"/>
        </w:rPr>
        <w:t xml:space="preserve">euro</w:t>
      </w:r>
      <w:r w:rsidR="00000000" w:rsidRPr="00000000" w:rsidDel="00000000">
        <w:rPr>
          <w:rtl w:val="0"/>
        </w:rPr>
        <w:t xml:space="preserve"> apmērā. Atbalsts pieejams arī konsultāciju izmaksām sīkiem (mikro), maziem, vidējiem komersantiem, pētniecības un zināšanu izplatīšanas organizācijām, ja tās neatbilst lielā komersanta statusam.</w:t>
      </w:r>
      <w:r w:rsidR="00000000" w:rsidRPr="00000000" w:rsidDel="00000000">
        <w:rPr>
          <w:b w:val="1"/>
          <w:rtl w:val="0"/>
        </w:rPr>
        <w:t xml:space="preserve">Maksimāli </w:t>
      </w:r>
      <w:r w:rsidR="00000000" w:rsidRPr="00000000" w:rsidDel="00000000">
        <w:rPr>
          <w:rtl w:val="0"/>
        </w:rPr>
        <w:t xml:space="preserve">pieļaujamā atbalsta intensitāte no investīciju projekta attiecināmajām izmaksām, ja atbalstu sniedz saskaņā ar Komisijas regulu Nr. 1407/2013 vai Komisijas regulu Nr. 717/2014 vai Komisijas regulu Nr. 1408/2013 sīkiem (mikro), maziem komersantiem, vidējiem un lieliem komersantiem, biedrībām un nodibinājumiem, pētniecības un zināšanu izplatīšanas organizācijām:</w:t>
      </w:r>
      <w:r w:rsidR="00000000" w:rsidRPr="00000000" w:rsidDel="00000000">
        <w:rPr>
          <w:rtl w:val="0"/>
        </w:rPr>
        <w:t xml:space="preserve">- Rīgas un Pierīgas kopējas statistiski teritoriālo vienību klasifikācijas (turpmāk - NUTS) 3. līmeņa reģionā ir 30 % (lieliem komersantiem) vai 40 % (vidējiem komersantiem) vai 50 % (sīkiem (mikro) vai maziem komersantiem); </w:t>
      </w:r>
      <w:r w:rsidR="00000000" w:rsidRPr="00000000" w:rsidDel="00000000">
        <w:rPr>
          <w:rtl w:val="0"/>
        </w:rPr>
        <w:t xml:space="preserve">- Kurzemes, Zemgales, Vidzemes un Latgales NUTS 3. līmeņa reģionā ir 40 % (lieliem komersantiem) vai 50 % (vidējiem komersantiem) vai 60 % (sīkiem (mikro), maziem komersantiem).</w:t>
      </w:r>
      <w:r w:rsidR="00000000" w:rsidRPr="00000000" w:rsidDel="00000000">
        <w:rPr>
          <w:rtl w:val="0"/>
        </w:rPr>
        <w:t xml:space="preserve">Atbalsta intensitātes mērķgrupai noteiktas, nodrošinot iespēju gala labuma guvējiem pieteikties un saņemt atbalstu arī citās Eiropas Savienības fondu un Atveseļošanas fonda investīcijās, kur komercdarbības atbalsts tiek sniegts kā </w:t>
      </w:r>
      <w:r w:rsidR="00000000" w:rsidRPr="00000000" w:rsidDel="00000000">
        <w:rPr>
          <w:i w:val="1"/>
          <w:rtl w:val="0"/>
        </w:rPr>
        <w:t xml:space="preserve">de minimis, </w:t>
      </w:r>
      <w:r w:rsidR="00000000" w:rsidRPr="00000000" w:rsidDel="00000000">
        <w:rPr>
          <w:rtl w:val="0"/>
        </w:rPr>
        <w:t xml:space="preserve">ņemot vērā maksimāli pieļaujamo </w:t>
      </w:r>
      <w:r w:rsidR="00000000" w:rsidRPr="00000000" w:rsidDel="00000000">
        <w:rPr>
          <w:i w:val="1"/>
          <w:rtl w:val="0"/>
        </w:rPr>
        <w:t xml:space="preserve">de minimis </w:t>
      </w:r>
      <w:r w:rsidR="00000000" w:rsidRPr="00000000" w:rsidDel="00000000">
        <w:rPr>
          <w:rtl w:val="0"/>
        </w:rPr>
        <w:t xml:space="preserve">atbalsta apmēru vienam gala labuma guvējam 200 000 </w:t>
      </w:r>
      <w:r w:rsidR="00000000" w:rsidRPr="00000000" w:rsidDel="00000000">
        <w:rPr>
          <w:i w:val="1"/>
          <w:rtl w:val="0"/>
        </w:rPr>
        <w:t xml:space="preserve">euro</w:t>
      </w:r>
      <w:r w:rsidR="00000000" w:rsidRPr="00000000" w:rsidDel="00000000">
        <w:rPr>
          <w:rtl w:val="0"/>
        </w:rPr>
        <w:t xml:space="preserve"> apmērā.</w:t>
      </w:r>
      <w:r w:rsidR="00000000" w:rsidRPr="00000000" w:rsidDel="00000000">
        <w:rPr>
          <w:rtl w:val="0"/>
        </w:rPr>
        <w:t xml:space="preserve">Sīkiem (mikro), maziem, vidējiem komersantiem, biedrībām un nodibinājumiem, pētniecības un zināšanu izplatīšanas organizācijām, ja tās neatbilst lielā komersanta statusam konsultāciju izmaksām maksimāli pieļaujamā atbalsta intensitāte ir 50% un kopējais pieejamais Atveseļošanas fonda finansējuma apmērs ir 36 000 000 </w:t>
      </w:r>
      <w:r w:rsidR="00000000" w:rsidRPr="00000000" w:rsidDel="00000000">
        <w:rPr>
          <w:i w:val="1"/>
          <w:rtl w:val="0"/>
        </w:rPr>
        <w:t xml:space="preserve">euro un </w:t>
      </w:r>
      <w:r w:rsidR="00000000" w:rsidRPr="00000000" w:rsidDel="00000000">
        <w:rPr>
          <w:rtl w:val="0"/>
        </w:rPr>
        <w:t xml:space="preserve">500 000 </w:t>
      </w:r>
      <w:r w:rsidR="00000000" w:rsidRPr="00000000" w:rsidDel="00000000">
        <w:rPr>
          <w:i w:val="1"/>
          <w:rtl w:val="0"/>
        </w:rPr>
        <w:t xml:space="preserve">euro</w:t>
      </w:r>
      <w:r w:rsidR="00000000" w:rsidRPr="00000000" w:rsidDel="00000000">
        <w:rPr>
          <w:rtl w:val="0"/>
        </w:rPr>
        <w:t xml:space="preserve">. Atbalsta intensitāte mērķgrupai ir noteikta, ievērojot samērīguma principu un paredzēto finansējuma apmēru ieguldījumiem vienā gala labuma guvējā, kā arī nosacījumu, ka vaučeri nevar pilnībā izmantot tikai konsultāciju pakalpojumiem.</w:t>
      </w:r>
      <w:r w:rsidR="00000000" w:rsidRPr="00000000" w:rsidDel="00000000">
        <w:rPr>
          <w:rtl w:val="0"/>
        </w:rPr>
        <w:t xml:space="preserve">Sīkam (mikro), mazam komersantam </w:t>
      </w:r>
      <w:r w:rsidR="00000000" w:rsidRPr="00000000" w:rsidDel="00000000">
        <w:rPr>
          <w:b w:val="1"/>
          <w:rtl w:val="0"/>
        </w:rPr>
        <w:t xml:space="preserve">maksimāli</w:t>
      </w:r>
      <w:r w:rsidR="00000000" w:rsidRPr="00000000" w:rsidDel="00000000">
        <w:rPr>
          <w:rtl w:val="0"/>
        </w:rPr>
        <w:t xml:space="preserve"> pieļaujamā atbalsta intensitāte no investīciju projekta attiecināmajām izmaksām ir 100%, arī konsultāciju izmaksām, lai veicinātu mērķgrupas aktīvāku iesaisti atbalsta programmas ietvaros. Nosacījums attiecas uz komersantiem, kas saņem atbalstu līdz 5000 </w:t>
      </w:r>
      <w:r w:rsidR="00000000" w:rsidRPr="00000000" w:rsidDel="00000000">
        <w:rPr>
          <w:i w:val="1"/>
          <w:rtl w:val="0"/>
        </w:rPr>
        <w:t xml:space="preserve">euro</w:t>
      </w:r>
      <w:r w:rsidR="00000000" w:rsidRPr="00000000" w:rsidDel="00000000">
        <w:rPr>
          <w:rtl w:val="0"/>
        </w:rPr>
        <w:t xml:space="preserve"> apmērā no kopējā Atveseļošanas fonda finansējuma 1 000 000 </w:t>
      </w:r>
      <w:r w:rsidR="00000000" w:rsidRPr="00000000" w:rsidDel="00000000">
        <w:rPr>
          <w:i w:val="1"/>
          <w:rtl w:val="0"/>
        </w:rPr>
        <w:t xml:space="preserve">euro.</w:t>
      </w:r>
      <w:r w:rsidR="00000000" w:rsidRPr="00000000" w:rsidDel="00000000">
        <w:rPr>
          <w:rtl w:val="0"/>
        </w:rPr>
        <w:t xml:space="preserve">Pieļaujamās reģionālā atbalsta intensitātes tiek noteiktas, ievērojot Ministru kabineta 2021. gada 2. novembra noteikumus Nr. 729 "Noteikumi par reģionālās attīstības atbalstu Latvijas Republikā līdz 2027. gadam", kuru 7. punktā tiek noteikts, ka atbalsta intensitāti piemēro atbalstītajam investīciju projektam, ja to paredzēts īstenot attiecīgajā reģionā, neatkarīgi no tā, kurā Latvijas Republikas reģionā ir reģistrēta projekta iesniedzēja juridiskā adrese. Ja investīciju projekts tiek īstenots dažādas intensitātes reģionos un ir iespējams skaidri identificēt aktīvu atrašanās vietu (nodrošinot to nepārvietošanu attiecīgu periodu pēc investīciju projekta pabeigšanas), tad pieļaujamo intensitāti nosaka, atbilstoši katram reģionam piekritīgo aktīvu izmaksām, piemērojot katrā reģionā pieļaujamo intensitāti. Ja investīciju projekts tiek īstenots dažādas intensitātes reģionos un nav iespējams skaidri identificēt aktīvu atrašanās vietu (nodrošinot to nepārvietošanu attiecīgu periodu pēc investīciju projekta pabeigšanas), tad visam investīciju projektam piemēro augstāko pieļaujamo intensitāti no tiem reģioniem, kuros notiek faktiskā darbība.</w:t>
      </w:r>
      <w:r w:rsidR="00000000" w:rsidRPr="00000000" w:rsidDel="00000000">
        <w:rPr>
          <w:rtl w:val="0"/>
        </w:rPr>
        <w:t xml:space="preserve">Latvijas Investīciju un attīstības aģentūrai maksimālā pieļaujamā finansējuma intensitāte no atbalsta programmas kopējām attiecināmajām izmaksām ir 100%.</w:t>
      </w:r>
      <w:r w:rsidR="00000000" w:rsidRPr="00000000" w:rsidDel="00000000">
        <w:rPr>
          <w:b w:val="1"/>
          <w:rtl w:val="0"/>
        </w:rPr>
        <w:t xml:space="preserve">Lēmumus</w:t>
      </w:r>
      <w:r w:rsidR="00000000" w:rsidRPr="00000000" w:rsidDel="00000000">
        <w:rPr>
          <w:rtl w:val="0"/>
        </w:rPr>
        <w:t xml:space="preserve"> par atbalsta piešķiršanu var pieņemt:</w:t>
      </w:r>
      <w:r w:rsidR="00000000" w:rsidRPr="00000000" w:rsidDel="00000000">
        <w:rPr>
          <w:rtl w:val="0"/>
        </w:rPr>
        <w:t xml:space="preserve">saskaņā ar Komisijas regulas Nr. 651/2014 58. panta 4. punkta nosacījumiem - līdz 2024. gada 30. jūnijam, bet attiecībā uz komercdarbības atbalstu, kas tiek piešķirts ar Komisijas regulas Nr. 651/2014 14. pantu - līdz 2023. gada 31. decembrim; </w:t>
      </w:r>
      <w:r w:rsidR="00000000" w:rsidRPr="00000000" w:rsidDel="00000000">
        <w:rPr>
          <w:rtl w:val="0"/>
        </w:rPr>
        <w:t xml:space="preserve">saskaņā ar Komisijas regulu Nr. 1407/2013 7. panta 4. punktu un 8. pantu - līdz 2024. gada 30. jūnijam;</w:t>
      </w:r>
      <w:r w:rsidR="00000000" w:rsidRPr="00000000" w:rsidDel="00000000">
        <w:rPr>
          <w:rtl w:val="0"/>
        </w:rPr>
        <w:t xml:space="preserve">saskaņā ar Komisijas regulu Nr. 717/2014 7. panta 4. punktu un 8. pantu - līdz 2023. gada 30. jūnijam;</w:t>
      </w:r>
      <w:r w:rsidR="00000000" w:rsidRPr="00000000" w:rsidDel="00000000">
        <w:rPr>
          <w:rtl w:val="0"/>
        </w:rPr>
        <w:t xml:space="preserve">saskaņā ar Komisijas regulu Nr. 1408/2013 7. panta 4. punktu un 8. pantu - līdz 2028. gada 30. jūnijam.</w:t>
      </w:r>
      <w:r w:rsidR="00000000" w:rsidRPr="00000000" w:rsidDel="00000000">
        <w:rPr>
          <w:b w:val="1"/>
          <w:rtl w:val="0"/>
        </w:rPr>
        <w:t xml:space="preserve">Atbalsta nosacījumi attiecībā uz nozarēm un darbībām</w:t>
      </w:r>
      <w:r w:rsidR="00000000" w:rsidRPr="00000000" w:rsidDel="00000000">
        <w:rPr>
          <w:rtl w:val="0"/>
        </w:rPr>
        <w:t xml:space="preserve">Atbalsts gala labuma guvējiem netiek sniegts:</w:t>
      </w:r>
      <w:r w:rsidR="00000000" w:rsidRPr="00000000" w:rsidDel="00000000">
        <w:rPr>
          <w:rtl w:val="0"/>
        </w:rPr>
        <w:t xml:space="preserve">-Komisijas regulas Nr. 651/2014 1. panta 2. punkta "c" un "d" apakšpunktā, 3. punktā un 13. panta "a", "b", "c" un "d" apakšpunktā noteiktajās neatbalstāmajās nozarēs un darbībās;</w:t>
      </w:r>
      <w:r w:rsidR="00000000" w:rsidRPr="00000000" w:rsidDel="00000000">
        <w:rPr>
          <w:rtl w:val="0"/>
        </w:rPr>
        <w:t xml:space="preserve">Atbalstam, kas tiek sniegts ar Komisijas regulas Nr. 651/2014. 18. pantu (konsultācijas) arī tiek piemēroti 13. panta nosacījumi, jo konsultācijas ir atbalstāmas gala labuma guvējiem, kas neatbilst lielā komersanta statusam un sīkiem (mikro), maziem komersantiem ar atbalstu līdz 5000 </w:t>
      </w:r>
      <w:r w:rsidR="00000000" w:rsidRPr="00000000" w:rsidDel="00000000">
        <w:rPr>
          <w:i w:val="1"/>
          <w:rtl w:val="0"/>
        </w:rPr>
        <w:t xml:space="preserve">euro, </w:t>
      </w:r>
      <w:r w:rsidR="00000000" w:rsidRPr="00000000" w:rsidDel="00000000">
        <w:rPr>
          <w:rtl w:val="0"/>
        </w:rPr>
        <w:t xml:space="preserve">kur atbalsts konsultācijām tiek sniegts kā </w:t>
      </w:r>
      <w:r w:rsidR="00000000" w:rsidRPr="00000000" w:rsidDel="00000000">
        <w:rPr>
          <w:i w:val="1"/>
          <w:rtl w:val="0"/>
        </w:rPr>
        <w:t xml:space="preserve">de minimis. </w:t>
      </w:r>
      <w:r w:rsidR="00000000" w:rsidRPr="00000000" w:rsidDel="00000000">
        <w:rPr>
          <w:rtl w:val="0"/>
        </w:rPr>
        <w:t xml:space="preserve">Tā kā vaučeri gala labuma guvējs nevar pilnībā izmantot tikai konsultāciju pakalpojumiem, jo atbalsta programmas mērķis ir veicināt procesu digitalizāciju komercdarbībā, sniedzot atbalstu ieguldījumiem gatavos risinājumos, gala labuma guvējiem, kuriem atbalsts tiek sniegts Komisijas regulas Nr. 651/2014 ietvaros, tiek piemēroti vienādi nosacījumi attiecībā uz 13. panta piemērošanu.</w:t>
      </w:r>
      <w:r w:rsidR="00000000" w:rsidRPr="00000000" w:rsidDel="00000000">
        <w:rPr>
          <w:rtl w:val="0"/>
        </w:rPr>
        <w:t xml:space="preserve">-ja gala labuma guvējs piesakās atbalstam Komisijas regulas Nr. 1407/2013 ietvaros, tam ir jāatbilst Komisijas regulas Nr. 1407/2013 1. panta 1. punkta nosacījumam;</w:t>
      </w:r>
      <w:r w:rsidR="00000000" w:rsidRPr="00000000" w:rsidDel="00000000">
        <w:rPr>
          <w:rtl w:val="0"/>
        </w:rPr>
        <w:t xml:space="preserve">-ja gala labuma guvējs piesakās atbalstam Komisijas regulas Nr. 717/2014 ietvaros, tam ir jāatbilst Komisijas regulas Nr. 717/2014 1. panta 1. punkta nosacījumam;</w:t>
      </w:r>
      <w:r w:rsidR="00000000" w:rsidRPr="00000000" w:rsidDel="00000000">
        <w:rPr>
          <w:rtl w:val="0"/>
        </w:rPr>
        <w:t xml:space="preserve">-ja gala labuma guvējs piesakās atbalstam Komisijas regulas Nr. 1408/2013 ietvaros, tam ir jāatbilst Komisijas regulas Nr. 1408/2013 1. panta 1. punkta nosacījumam;</w:t>
      </w:r>
      <w:r w:rsidR="00000000" w:rsidRPr="00000000" w:rsidDel="00000000">
        <w:rPr>
          <w:rtl w:val="0"/>
        </w:rPr>
        <w:t xml:space="preserve">-atbalstu nepiešķir, ja gala labuma guvējs darbojas ieroču un munīcijas tirdzniecības nozarē (Saimniecisko darbību statistiskās klasifikācijas Eiropas Kopienā, 2. redakcija (turpmāk - NACE 2. red.) grupa 47.78 “Citur neklasificēta jaunu preču mazumtirdzniecība specializētajos veikalos”);</w:t>
      </w:r>
      <w:r w:rsidR="00000000" w:rsidRPr="00000000" w:rsidDel="00000000">
        <w:rPr>
          <w:rtl w:val="0"/>
        </w:rPr>
        <w:t xml:space="preserve">-atbalstu nepiešķir, ja gala labuma guvējs darbojas azartspēļu un derību nozarē (NACE 2. red. 92. nodaļa “Azartspēles un derības”);</w:t>
      </w:r>
      <w:r w:rsidR="00000000" w:rsidRPr="00000000" w:rsidDel="00000000">
        <w:rPr>
          <w:rtl w:val="0"/>
        </w:rPr>
        <w:t xml:space="preserve">-atbalstu nepiešķir, ja gala labuma guvējs darbojas tabakas izstrādājumu ražošanas un tirdzniecības nozarē (NACE 2. red. 12. nodaļa "Tabakas izstrādājumu ražošana", grupa 46.35 "Tabakas izstrādājumu vairumtirdzniecība" un grupa 47.26 "Tabakas izstrādājumu mazumtirdzniecība specializētajos veikalos").</w:t>
      </w:r>
      <w:r w:rsidR="00000000" w:rsidRPr="00000000" w:rsidDel="00000000">
        <w:rPr>
          <w:rtl w:val="0"/>
        </w:rPr>
        <w:t xml:space="preserve">Ja gala labuma guvējs darbojas kādā no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651/2014 1. panta 3. punktu, Komisijas regulas Nr. 1407/2013 1. panta 2. punktu vai Komisijas regulas Nr. 717/2014 1. panta 2. un 3. punktu vai Komisijas regulas Nr. 1408/2013 1. panta 2. un 3. punktu. </w:t>
      </w:r>
      <w:r w:rsidR="00000000" w:rsidRPr="00000000" w:rsidDel="00000000">
        <w:rPr>
          <w:b w:val="1"/>
          <w:rtl w:val="0"/>
        </w:rPr>
        <w:t xml:space="preserve">Dokumentācijas uzglabāšana</w:t>
      </w:r>
      <w:r w:rsidR="00000000" w:rsidRPr="00000000" w:rsidDel="00000000">
        <w:rPr>
          <w:rtl w:val="0"/>
        </w:rPr>
        <w:t xml:space="preserve">Atbilstoši Komisijas regulas Nr. 651/2014 12. pantam vai Komisijas regulas Nr. 1407/2013 6. panta 4. punktam vai Komisijas regulas Nr. 717/2014 6. panta 4. punktam, vai Komisijas regulas Nr. 1408/2013 6. panta 4. punktam informācijas uzglabāšana tiek nodrošināta šādā veidā: </w:t>
      </w:r>
      <w:r w:rsidR="00000000" w:rsidRPr="00000000" w:rsidDel="00000000">
        <w:rPr>
          <w:rtl w:val="0"/>
        </w:rPr>
        <w:t xml:space="preserve">-Latvijas Investīciju un attīstības aģentūra nodrošina informācijas uzglabāšanu 10 gadus, sākot no dienas, kad ir piešķirts pēdējais atbalsts saskaņā ar šiem noteikumiem;</w:t>
      </w:r>
      <w:r w:rsidR="00000000" w:rsidRPr="00000000" w:rsidDel="00000000">
        <w:rPr>
          <w:rtl w:val="0"/>
        </w:rPr>
        <w:t xml:space="preserve">-gala labuma guvējs nodrošina informācijas uzglabāšanu 10 gadus, skaitot no atbalsta piešķiršanas brīža saskaņā ar šiem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paredzētais atbalsts juridiskām personām veicinās to konkurētspēju, risinājumu ieviešanu sasaistē ar viedās specializācijas stratēģiju.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ietvaros atbalstāmās darbības ļaus komersantiem nodrošināt investīciju ieguldījumus procesu digitalizācijā, paaugstinot to produktivitāti.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12 018 362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programmai plānotais kopējais Atveseļošanas fonda finansējums ir 40 000 000 </w:t>
            </w:r>
            <w:r w:rsidR="00000000" w:rsidRPr="00000000" w:rsidDel="00000000">
              <w:rPr>
                <w:sz w:val="24"/>
                <w:i w:val="1"/>
                <w:rtl w:val="0"/>
              </w:rPr>
              <w:t xml:space="preserve">euro</w:t>
            </w:r>
            <w:r w:rsidR="00000000" w:rsidRPr="00000000" w:rsidDel="00000000">
              <w:rPr>
                <w:sz w:val="24"/>
                <w:rtl w:val="0"/>
              </w:rPr>
              <w:t xml:space="preserve">: 2023. gadā 11 000 000 </w:t>
            </w:r>
            <w:r w:rsidR="00000000" w:rsidRPr="00000000" w:rsidDel="00000000">
              <w:rPr>
                <w:sz w:val="24"/>
                <w:i w:val="1"/>
                <w:rtl w:val="0"/>
              </w:rPr>
              <w:t xml:space="preserve">euro</w:t>
            </w:r>
            <w:r w:rsidR="00000000" w:rsidRPr="00000000" w:rsidDel="00000000">
              <w:rPr>
                <w:sz w:val="24"/>
                <w:rtl w:val="0"/>
              </w:rPr>
              <w:t xml:space="preserve"> apmērā, 2024. gadā 12 000 000 </w:t>
            </w:r>
            <w:r w:rsidR="00000000" w:rsidRPr="00000000" w:rsidDel="00000000">
              <w:rPr>
                <w:sz w:val="24"/>
                <w:i w:val="1"/>
                <w:rtl w:val="0"/>
              </w:rPr>
              <w:t xml:space="preserve">euro</w:t>
            </w:r>
            <w:r w:rsidR="00000000" w:rsidRPr="00000000" w:rsidDel="00000000">
              <w:rPr>
                <w:sz w:val="24"/>
                <w:rtl w:val="0"/>
              </w:rPr>
              <w:t xml:space="preserve"> apmērā, 2025. gadā 12 000 000 </w:t>
            </w:r>
            <w:r w:rsidR="00000000" w:rsidRPr="00000000" w:rsidDel="00000000">
              <w:rPr>
                <w:sz w:val="24"/>
                <w:i w:val="1"/>
                <w:rtl w:val="0"/>
              </w:rPr>
              <w:t xml:space="preserve">euro</w:t>
            </w:r>
            <w:r w:rsidR="00000000" w:rsidRPr="00000000" w:rsidDel="00000000">
              <w:rPr>
                <w:sz w:val="24"/>
                <w:rtl w:val="0"/>
              </w:rPr>
              <w:t xml:space="preserve"> apmērā un 2026. gadā 5 000 000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paredzēts atbalsta sniegšanai gala labuma guvējiem un Latvijas Investīciju un attīstības aģentūras projekta personāla atlīdzības un administrēšanas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attiecināmības termiņš ir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aģentūras projekta personāla atlīdzības izmaksu segšanai plānots finansējums 1 693 335 </w:t>
            </w:r>
            <w:r w:rsidR="00000000" w:rsidRPr="00000000" w:rsidDel="00000000">
              <w:rPr>
                <w:sz w:val="24"/>
                <w:i w:val="1"/>
                <w:rtl w:val="0"/>
              </w:rPr>
              <w:t xml:space="preserve">euro</w:t>
            </w:r>
            <w:r w:rsidR="00000000" w:rsidRPr="00000000" w:rsidDel="00000000">
              <w:rPr>
                <w:sz w:val="24"/>
                <w:rtl w:val="0"/>
              </w:rPr>
              <w:t xml:space="preserve"> apmērā un administrēšanas izmaksu segšanai - 806 665 </w:t>
            </w:r>
            <w:r w:rsidR="00000000" w:rsidRPr="00000000" w:rsidDel="00000000">
              <w:rPr>
                <w:sz w:val="24"/>
                <w:i w:val="1"/>
                <w:rtl w:val="0"/>
              </w:rPr>
              <w:t xml:space="preserve">euro</w:t>
            </w:r>
            <w:r w:rsidR="00000000" w:rsidRPr="00000000" w:rsidDel="00000000">
              <w:rPr>
                <w:sz w:val="24"/>
                <w:rtl w:val="0"/>
              </w:rPr>
              <w:t xml:space="preserve"> apmērā no Atveseļošanas fonda finansējuma. Ar šo finansējumu tiks nodrošinātas 7. punktā norādīto terminēto 9 amata vietu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aģentūras projekta personāla atlīdzības un administrēšanas izmaksu segšanai nepieciešamais finansējums bez PVN:</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18"/>
              <w:gridCol w:w="8118"/>
              <w:gridCol w:w="8118"/>
              <w:gridCol w:w="8118"/>
              <w:gridCol w:w="8118"/>
              <w:gridCol w:w="8118"/>
              <w:gridCol w:w="8118"/>
              <w:gridCol w:w="8118"/>
              <w:gridCol w:w="8118"/>
              <w:gridCol w:w="8118"/>
              <w:gridCol w:w="8118"/>
              <w:gridCol w:w="8118"/>
              <w:gridCol w:w="8118"/>
              <w:tblGridChange w:id="0">
                <w:tblGrid>
                  <w:gridCol w:w="8118"/>
                  <w:gridCol w:w="8118"/>
                  <w:gridCol w:w="8118"/>
                  <w:gridCol w:w="8118"/>
                  <w:gridCol w:w="8118"/>
                  <w:gridCol w:w="8118"/>
                  <w:gridCol w:w="8118"/>
                  <w:gridCol w:w="8118"/>
                  <w:gridCol w:w="8118"/>
                  <w:gridCol w:w="8118"/>
                  <w:gridCol w:w="8118"/>
                  <w:gridCol w:w="8118"/>
                  <w:gridCol w:w="8118"/>
                </w:tblGrid>
              </w:tblGridChange>
            </w:tblGrid>
            <w:tr>
              <w:tc>
                <w:tcPr>
                  <w:shd w:fill="ffffff"/>
                  <w:vAlign w:val="center"/>
                  <w:noWrap w:val="true"/>
                  <w:gridSpan w:val="1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Nodaļa un atbalsta funkcijas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Fakt.sl. TPP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Mēnešalgas intervāls, viduspunkts,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Mēnešalgas intervāls, viduspunkts,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Atvaļinājuma pabalsts (50% no mēneša atlīdzības), Naudas balva, Piemaksa, pabalsti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Veselības apdrošināšanas polises prēmija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2023. gadā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37263.19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5247.37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10028.24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52965.66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Vec.projekta vadītājs (vada projektu, atskaites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4393.82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8101.01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42868.74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34636.73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34636.73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34636.73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3697.92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34636.73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projektu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4393.82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8101.01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42868.74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19832.75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5436.69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28910.12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jurists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4393.82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8101.01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42868.7</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349028.94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gridCol w:w="8100"/>
              <w:gridCol w:w="8100"/>
              <w:gridCol w:w="8100"/>
              <w:gridCol w:w="8100"/>
              <w:gridCol w:w="8100"/>
              <w:gridCol w:w="8100"/>
              <w:gridCol w:w="8100"/>
              <w:tblGridChange w:id="0">
                <w:tblGrid>
                  <w:gridCol w:w="8100"/>
                  <w:gridCol w:w="8100"/>
                  <w:gridCol w:w="8100"/>
                  <w:gridCol w:w="8100"/>
                  <w:gridCol w:w="8100"/>
                  <w:gridCol w:w="8100"/>
                  <w:gridCol w:w="8100"/>
                  <w:gridCol w:w="8100"/>
                  <w:gridCol w:w="8100"/>
                  <w:gridCol w:w="8100"/>
                  <w:gridCol w:w="8100"/>
                  <w:gridCol w:w="8100"/>
                  <w:gridCol w:w="8100"/>
                </w:tblGrid>
              </w:tblGridChange>
            </w:tblGrid>
            <w:tr>
              <w:tc>
                <w:tcPr>
                  <w:shd w:fill="ffffff"/>
                  <w:vAlign w:val="center"/>
                  <w:noWrap w:val="true"/>
                  <w:gridSpan w:val="1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Nodaļa un atbalsta funkcijas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Fakt.sl. TPP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Mēnešalgas intervāls, viduspunkts,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 viduspunkts ar koeficientu *1.1,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Atvaļinājuma pabalsts (50% no mēneša atlīdzības), Naudas balva, Novērtēšana 75%, Piemaksa, pabalsti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Veselības apdrošināšanas polises prēmija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2024. gadā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40989.51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8243.95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11614.17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61274.50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Vec.projekta vadītājs (vada projektu, atskaites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32941.75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6802.06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49546.24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26380.43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7550.43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39984.21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26380.43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7550.43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39984.21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26380.43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7550.43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39984.21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26380.43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5626.49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7550.43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39984.21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projektu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32941.75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6802.06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49546.24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21816.03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4808.70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6280.77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33332.37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jurists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32941.75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6802.06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9375.57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49546.24</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403182.44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gridCol w:w="8100"/>
              <w:gridCol w:w="8100"/>
              <w:gridCol w:w="8100"/>
              <w:gridCol w:w="8100"/>
              <w:gridCol w:w="8100"/>
              <w:gridCol w:w="8100"/>
              <w:gridCol w:w="8100"/>
              <w:tblGridChange w:id="0">
                <w:tblGrid>
                  <w:gridCol w:w="8100"/>
                  <w:gridCol w:w="8100"/>
                  <w:gridCol w:w="8100"/>
                  <w:gridCol w:w="8100"/>
                  <w:gridCol w:w="8100"/>
                  <w:gridCol w:w="8100"/>
                  <w:gridCol w:w="8100"/>
                  <w:gridCol w:w="8100"/>
                  <w:gridCol w:w="8100"/>
                  <w:gridCol w:w="8100"/>
                  <w:gridCol w:w="8100"/>
                  <w:gridCol w:w="8100"/>
                  <w:gridCol w:w="8100"/>
                </w:tblGrid>
              </w:tblGridChange>
            </w:tblGrid>
            <w:tr>
              <w:tc>
                <w:tcPr>
                  <w:shd w:fill="ffffff"/>
                  <w:vAlign w:val="center"/>
                  <w:noWrap w:val="true"/>
                  <w:gridSpan w:val="1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Nodaļa un atbalsta funkcijas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Fakt.sl. TPP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Mēnešalgas intervāls, viduspunkts,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 viduspunkts ar koeficientu *1.2,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Atvaļinājuma pabalsts (50% no mēneša atlīdzības), Naudas balva, Novērtēšana 75%, Piemaksa, pabalsti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Veselības apdrošināšanas polises prēmija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2025. gadā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3726.32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9011.59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12674.30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66828.57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Vec.projekta vadītājs (vada projektu, atskaites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10232.18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54034.11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6156.17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43602.81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6156.17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43602.81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6156.17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43602.81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6156.17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8241.12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43602.81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projektu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10232.18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54034.11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1983.28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5264.04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6856.04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36346.25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jurists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2994.70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7438.62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10232.18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54034.11</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439688.38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gridCol w:w="8100"/>
              <w:gridCol w:w="8100"/>
              <w:gridCol w:w="8100"/>
              <w:gridCol w:w="8100"/>
              <w:gridCol w:w="8100"/>
              <w:gridCol w:w="8100"/>
              <w:gridCol w:w="8100"/>
              <w:tblGridChange w:id="0">
                <w:tblGrid>
                  <w:gridCol w:w="8100"/>
                  <w:gridCol w:w="8100"/>
                  <w:gridCol w:w="8100"/>
                  <w:gridCol w:w="8100"/>
                  <w:gridCol w:w="8100"/>
                  <w:gridCol w:w="8100"/>
                  <w:gridCol w:w="8100"/>
                  <w:gridCol w:w="8100"/>
                  <w:gridCol w:w="8100"/>
                  <w:gridCol w:w="8100"/>
                  <w:gridCol w:w="8100"/>
                  <w:gridCol w:w="8100"/>
                  <w:gridCol w:w="8100"/>
                </w:tblGrid>
              </w:tblGridChange>
            </w:tblGrid>
            <w:tr>
              <w:tc>
                <w:tcPr>
                  <w:shd w:fill="ffffff"/>
                  <w:vAlign w:val="center"/>
                  <w:noWrap w:val="true"/>
                  <w:gridSpan w:val="1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2026.gads 1.pusgads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Nodaļa un atbalsta funkcijas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Saime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Slodze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Fakt.sl. TPP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Mēnešalgas intervāls, viduspunkts,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Mēnešalga, maksimums, 1/2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Atvaļinājuma pabalsts (50% no mēneša atlīdzības), Naudas balva, Novērtēšana 75%, Piemaksa, pabalsti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Veselības apdrošināšanas polises prēmija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2026.gads 1.pusgads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9010.90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9178.40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48299.83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Vec.projekta vadītājs (vada projektu, atskaites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22356.00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7708.00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7399.45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38979.78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5040.44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26620.72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5040.44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26620.72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5040.44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26620.72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Vadošais eksperts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14994.00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6372.85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5040.44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26620.72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sistēmu projektu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18720.00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7708.00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6234.37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32875.80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grāmatvedis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12402.00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5444.05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4209.88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22269.36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jurists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18720.00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7708.00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6234.37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32875.80</w:t>
                  </w:r>
                </w:p>
              </w:tc>
            </w:tr>
            <w:tr>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9.00</w:t>
                  </w:r>
                </w:p>
              </w:tc>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281783.44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71"/>
              <w:gridCol w:w="1650"/>
              <w:gridCol w:w="1650"/>
              <w:gridCol w:w="1650"/>
              <w:gridCol w:w="1455"/>
              <w:gridCol w:w="1455"/>
              <w:gridCol w:w="1455"/>
              <w:gridCol w:w="1538"/>
              <w:gridCol w:w="1538"/>
              <w:gridCol w:w="1538"/>
              <w:gridCol w:w="1427"/>
              <w:gridCol w:w="1427"/>
              <w:gridCol w:w="1427"/>
              <w:gridCol w:w="408"/>
              <w:tblGridChange w:id="0">
                <w:tblGrid>
                  <w:gridCol w:w="871"/>
                  <w:gridCol w:w="1650"/>
                  <w:gridCol w:w="1650"/>
                  <w:gridCol w:w="1650"/>
                  <w:gridCol w:w="1455"/>
                  <w:gridCol w:w="1455"/>
                  <w:gridCol w:w="1455"/>
                  <w:gridCol w:w="1538"/>
                  <w:gridCol w:w="1538"/>
                  <w:gridCol w:w="1538"/>
                  <w:gridCol w:w="1427"/>
                  <w:gridCol w:w="1427"/>
                  <w:gridCol w:w="1427"/>
                  <w:gridCol w:w="4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par projekta īstenošanai nepieciešamo papildu pienākumu veikšanu LIAA nodarbinātajiem, kas nav minētās 9 amata vietas (pienākumiem, kas nav minēto amata vietu amata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palielinātas noslodzes gadījumā (piem., liela pieteikumu skaita dēļ)  darbinieku piesaiste no citām LIAA struktūrām (pieteikumu izvērtēšanā, MP izskatīšanā, juristu piesaiste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LIAA darbinieku. kas nodrošina iekšējo kārtību izstrādi, projekta budžeta sagatavošanu utt.)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LIAA darbiniekiem, kas strādās ar marketinga aktivitātēm šīs investīcijas popularizēšanai (soctīklu administrēšana, rakstu (piem., Labsoflatvia) gatavošana, komersantu apmācības u.c.).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59 323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42 021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219 652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Sniegtie aprēķini par nodarbināto izmaksām ir aptuveni, ņemot vērā nodarbināto mainību, noslodzi un papildus uzdevumu veikšanai piesaistāmo Latvijas Investīciju un attīstības aģentūras nodarbināto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Investīciju un attīstības aģentūrai no valsts budžeta būs nepieciešams finansējums 140 000 </w:t>
            </w:r>
            <w:r w:rsidR="00000000" w:rsidRPr="00000000" w:rsidDel="00000000">
              <w:rPr>
                <w:sz w:val="24"/>
                <w:i w:val="1"/>
                <w:rtl w:val="0"/>
              </w:rPr>
              <w:t xml:space="preserve">euro </w:t>
            </w:r>
            <w:r w:rsidR="00000000" w:rsidRPr="00000000" w:rsidDel="00000000">
              <w:rPr>
                <w:sz w:val="24"/>
                <w:rtl w:val="0"/>
              </w:rPr>
              <w:t xml:space="preserve">apmērā PVN izmaksu segšanai, t.sk.: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00"/>
              <w:gridCol w:w="1500"/>
              <w:gridCol w:w="1500"/>
              <w:gridCol w:w="1500"/>
              <w:gridCol w:w="1500"/>
              <w:tblGridChange w:id="0">
                <w:tblGrid>
                  <w:gridCol w:w="1500"/>
                  <w:gridCol w:w="1500"/>
                  <w:gridCol w:w="1500"/>
                  <w:gridCol w:w="1500"/>
                  <w:gridCol w:w="15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Darba vietas nodrošināšana (datori, licences, 30 000 EUR serveris dokumentu kopiju uzglabāšanai, krēsli, galdi u.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business.gov.lv (pakalpojuma jaunas sadaļas izveide un uzturēšana)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Darbinieku pilnveidošana (semināri, kursi</w:t>
                  </w:r>
                  <w:r w:rsidR="00000000" w:rsidRPr="00000000" w:rsidDel="00000000">
                    <w:rPr>
                      <w:sz w:val="24"/>
                      <w:b w:val="1"/>
                      <w:rtl w:val="0"/>
                    </w:rPr>
                    <w:t xml:space="preserve">u.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Informatīvie pasākumi (DTA, semināri atbalsta saņēmējiem)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34 711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Eksperti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85 042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33 843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18 362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2 753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kvalitatīvi īstenotu atbalsta programmu, Latvijas Investīciju un attīstības aģentūrai nepieciešams pārveidot esošās 9 amatu vietas.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Ekonomikas ministrija lūgs pārdalīt no 80.00.00 programmas „Nesadalītais finansējums Eiropas Savienības politiku instrumentu un pārējās ārvalstu finanšu palīdzības līdzfinansēto projektu un pasākumu īstenošanai”, sākot ar 2023. 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 (ES) 2021/241, ar ko izveido Atveseļošanas un noturības mehānismu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Regula (ES)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2018. gada 18. jūlija Regula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32021R0694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29. aprīļa Regulu ES Nr. 2021/694, ar ko izveido programmu "Digitālā Eiropa" un atceļ Lēmumu 2015/2240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 8.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34.1.3. apakšpunkts un 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34.1.3. un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54., 55., 63. un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 3. punkts un 13. panta "a", "b", "c",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2.10 un 18.2.2.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"a"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 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un 18.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un 70.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18.2.2.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13. punkts; 2. panta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punkts; 2. panta 61.a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34.1.5.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 6. punkta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 2. panta 29. un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 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nodrošinās kopsavilkuma informācijas nosūtīšanu Eiropas Komisijai 20 darbadienu laikā no noteikumu projekta spēkā stāšanās brīža.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79.1.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62., 74., 75., 87. un 89.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12. februāra Regula (ES) 2021/241, ar ko izveido Atveseļošanas un noturības mehānismu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25.15. apakšpunkts un 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81.1. apakšpunkts un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62., 74., 75., 87. un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Regula (ES)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84.3.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81.1. apakšpunkts un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 62., 74., 75., 87. un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2018. gada 18. jūlija Regula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13.1., 14.3., 24.7., 25.11.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24.2., 34.1.4. un 34.2.3.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29. aprīļa Regulu ES Nr. 2021/694, ar ko izveido programmu "Digitālā Eiropa" un atceļ Lēmumu 2015/2240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ietvaros saņemti priekšlikumi no fiziskas personas, kas ir izvērtēti. Skaidrojums sniegts viedokļu pārskatā, kas ir publiski pieejams.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 paredzēts veikt Latvijas Investīciju un attīstības aģentūras reorganizāciju, koncepts tiek pārrunāts Ekonomikas ministrijas līmenī, īstenošanas termiņš nav vēl zināms.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Funkcijas Latvijas Investīciju un attīstības aģentūrai paredzēts paplašināt ar Ekonomikas ministrijas deleģējumu.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digitalizācijas veicināšana ir viens no Digitālās transformācijas pamatnostādņu 2021. – 2027.gadam īstenošanas rīcības virzieniem ar mērķi līdz 2027.gadam izveidot labvēlīgu un modernu uzņēmējdarbības vidi, kas balstīta inovācijās, mūsdienīgu tehnoloģiju pilnvērtīgā izmantošanā, proaktīvu un dzīves situācijām pielāgotu ar uzņēmējdarbību saistītu pakalpojumu pieejamībā, ceļot komersantu produktivitāti un veicinot konkurētspēju gan vietējā, gan Eiropas un globālā mērogā. Plānots, ka pamatnostādņu pasākumu rezultātā līdz 2027.gadam 70% Latvijas komersantiem jāsasniedz digitālās intensitātes pamata līmenis, bet 35% komersantu – paaugstināts digitālās intensitātes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programmas finansējums ir būtisks ieguldījums, lai sasniegtu pamatnostādnēs izvirzīto mērķi – izveidot komersantu digitālās transformācijas inovāciju ekosistēmu, nodrošināt atbalsta instrumentus komersantu digitālajai transformācijai.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22-TA-1124</w:t>
    </w:r>
    <w:r>
      <w:br/>
    </w:r>
    <w:r w:rsidR="00000000" w:rsidRPr="00000000" w:rsidDel="00000000">
      <w:rPr>
        <w:rtl w:val="0"/>
      </w:rPr>
      <w:t xml:space="preserve">Izdrukāts 29.07.2026. 22.47 - 9.0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22-TA-1124</w:t>
    </w:r>
    <w:r>
      <w:br/>
    </w:r>
    <w:r w:rsidR="00000000" w:rsidRPr="00000000" w:rsidDel="00000000">
      <w:rPr>
        <w:rtl w:val="0"/>
      </w:rPr>
      <w:t xml:space="preserve">Izdrukāts 29.07.2026. 22.47 - 9.0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anotācija_(ex_ante)_22-TA-1124.docx</dc:title>
</cp:coreProperties>
</file>

<file path=docProps/custom.xml><?xml version="1.0" encoding="utf-8"?>
<Properties xmlns="http://schemas.openxmlformats.org/officeDocument/2006/custom-properties" xmlns:vt="http://schemas.openxmlformats.org/officeDocument/2006/docPropsVTypes"/>
</file>