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un Eiropas Savienības fondu 2021.—2027. gada plānošanas perioda vadības likuma 19. panta 6. un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6. un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profilaktiski un medicīniski novēršamo nāves gadījumu skaitu, ir būtiski uzlabojama veselības aprūpes pakalpojumu pieejamība un kvalitāte, paredzot ieguldījumus ārstniecības iestāžu attīstībai visos aprūpes līmeņos, atbilstoši pakalpojumu kartējumam, veselības aprūpes pakalpojumu attīstībai pieejamiem cilvēkresursiem un finanšu resursiem, t.sk. nodrošinot ārstniecības iestāžu gatavību potenciālo sabiedrības veselības krīžu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ārstniecības iestāžu attīstībai visos līmeņos vērstas uz Eiropas Savienības padomes rekomendācijām Latvijai 2019. gadam veselības jomā un Sabiedrības veselības pamatnostādnēs 2021.–2027. gadam paredzēto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ilgtspējīgus un saskaņotus pasākumus starp visiem plānotajiem finanšu atbalsta mehānismiem 2022. gada 14. jūlijā Ministru kabinets ir apstiprinājis informatīvo ziņojumu “Par veselības aprūpes nodrošināšanas infrastruktūras attīstības investīciju stratēģiju 2021.-2027. gadam” protokollēmums Nr.36/105.§ (22-TA-1198) (https://tapportals.mk.gov.lv/legal_acts/c9e99f49-7a1e-42a6-8002-31b1cc66dc96) (turpmāk – infrastruktūras investīciju stratēģija), kurā atspoguļota situācija veselības aprūpes pakalpojumu sniegšanas vietu kartējums visos aprūpes līmeņos un noteikti lielākie izaicinājumi galvenajiem veselības aprūpes pakalpojumu (infrastruktūras) attīstības virzieniem, vai noteikti secīgie virzības soļi.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īstenota Eiropas Savienības Kohēzijas politikas programmas 2021. – 2027. gadam 4.1.1. specifiskā atbalsta mērķa "Nodrošināt vienlīdzīgu piekļuvi veselības aprūpei un stiprināt veselības sistēmu, tostarp primārās veselības aprūpes noturību" (turpmāk – SAM) 4.1.1.1. pasākuma "Ārstniecības iestāžu infrastruktūras attīstība" (turpmāk – 4.1.1.1.pasākums) pirmā kārta un 4.1.1.5 pasākums “Neatliekamās medicīniskās palīdzības dienesta attīstība” (turpmāk – 4.1.1.5.pasākums un visi kopā -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108 995 936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92 646 546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16 349 390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18. un 86. pantā noteikto 4.1.1. SAM elastības finansējums tiek noteikts 4.1.1.2. pasākuma "P.Stradiņa klīniskās universitātes slimnīcas infrastruktūras attīstība" (turpmāk – 4.1.1.2. pasākums) un 4.1.1.4. "Veselības aprūpes pārvaldības sistēmas stiprināšana un digitalizācija, attīstot digitālos risinājumus" pasākuma ietvaros. Attiecīgi 4.1.1.2. pasākumam noteikts pieejamais un plānotais finansējums. Veselības ministrija kā atbildīgā iestāde (turpmāk – atbildīgā iestāde), pēc Eiropas Komisijas (turpmāk – EK) lēmuma par vidusposma pārskata, var ierosināt palielināt 4.1.1.2. pasākumam pieejamo kopējo finansējumu līdz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10" w:space="0"/>
          <w:left w:color="auto" w:val="single" w:sz="10" w:space="0"/>
          <w:bottom w:color="auto" w:val="single" w:sz="10" w:space="0"/>
          <w:right w:color="auto" w:val="single" w:sz="10" w:space="0"/>
          <w:insideH w:color="auto" w:val="single" w:sz="10" w:space="0"/>
          <w:insideV w:color="auto" w:val="single" w:sz="10" w:space="0"/>
        </w:tblBorders>
        <w:tblLayout w:type="fixed"/>
        <w:tblLook w:val="0600"/>
      </w:tblPr>
      <w:tblGrid>
        <w:gridCol w:w="1148"/>
        <w:gridCol w:w="4459"/>
        <w:gridCol w:w="1651"/>
        <w:gridCol w:w="1781"/>
        <w:tblGridChange w:id="0">
          <w:tblGrid>
            <w:gridCol w:w="1148"/>
            <w:gridCol w:w="4459"/>
            <w:gridCol w:w="1651"/>
            <w:gridCol w:w="17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(ieskaitot elastības finansējumu),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 fondu finansējums</w:t>
            </w:r>
            <w:r w:rsidR="00000000" w:rsidRPr="00000000" w:rsidDel="00000000">
              <w:rPr>
                <w:sz w:val="24"/>
                <w:rtl w:val="0"/>
              </w:rPr>
              <w:t xml:space="preserve"> (BEZ elastības finansējuma),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infrastruktūras attīstība (1. - 4. 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105 867 028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105 867 028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114 660 197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74 980 248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Hroniski slimo un nedziedināmi slimo pacientu aprūpei nepieciešamās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13 618 057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13 618 057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ietvaros Finansējuma saņēmēji noteikti noteikumu pielikumā saskaņā ar Ministru kabineta 2018. gada 28. augusta noteikumiem Nr. 555 “Veselības aprūpes pakalpojumu organizēšanas un samaksas kārtība” (turpmāk - MK noteikumi Nr.555) un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 līmeņa stacionārās ārstniecības iestādes (klīniskās universitātes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IV līmeņa stacionārās ārstniecības iestādes (reģionālās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SIA "Liepājas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"Ziemeļkurzemes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"Vidzemes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"Daugavpils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SIA "Rēzeknes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SIA "Jēkabpils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 līmeņa specializētās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VSIA "Traumatoloģijas un ortopēdijas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VSIA "Nacionālais rehabilitācijas centrs "Vaivari"",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sniedz sekundāros ambulatoros un stacionāros veselības aprūpes pakalpojumus un nodrošina neatliekamo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14. Valsts tiesu medicīnas ekspertīzes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veselības ministra pakļautībā esoša tiešās pārvaldes iestāde, kuras darbības mērķis ir tiesu medicīnisko un bioloģisko ekspertīžu un izpētes nodrošināšana, ārstniecības iestāžu nodrošināšana ar audu transplantātiem, zinātniskās pētniecības veikšana un pēcdiploma izglītības organizēšana tiesu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ietvaros jāņem vērā 2023. gada 14. martā Ministru kabinetā izskatītais ziņojums “Informatīvais ziņojums “Par VSIA “Paula Stradiņa klīniskā universitātes slimnīca” A ēkas otrās kārtas attīstību” (protokollēmums Nr. 14 30. §, (23-TA-498) (https://tapportals.mk.gov.lv/meetings/cabinet_ministers/353d2521-f791-4c94-b35a-e7c811a017d2), kurā noteikts , ka VSIA "Paula Stradiņa klīniskā universitātes slimnīca" (turpmāk – Slimnīca) lielā projekta Nr. 9.3.2.0/17/I/013 “Paula Stradiņa klīniskās universitātes slimnīcas jaunās A2 ēkas attīstība” (turpmāk – lielais projekts) ietvaros sakarā ar Krievijas kara Ukrainā ietekmi uz būvniecības tirgu ir radies ne Slimnīcai un ne būvdarbu īstenotājam SIA “Velve” (turpmāk – Uzņēmējs) prognozējams sadārdzinājums 16 290 890,20 </w:t>
      </w:r>
      <w:r w:rsidR="00000000" w:rsidRPr="00000000" w:rsidDel="00000000">
        <w:rPr>
          <w:i w:val="1"/>
          <w:rtl w:val="0"/>
        </w:rPr>
        <w:t xml:space="preserve">euro</w:t>
      </w:r>
      <w:r w:rsidR="00000000" w:rsidRPr="00000000" w:rsidDel="00000000">
        <w:rPr>
          <w:rtl w:val="0"/>
        </w:rPr>
        <w:t xml:space="preserve"> (ar pievienotās vērtības nodokli (turpmāk – PVN)) apjomā un ir nepieciešams būvdarba līguma termiņa pagarinājums līdz 2024. gada 1. jūnijam. Attiecīgi lielā projekta īstenošana tiks pabeigta atbilstoši EK Vadlīnijās par to darbības programmu slēgšanu, kuras pieņemtas atbalsta saņemšanai no ERAF, Eiropas Sociālā fonda, Kohēzijas fonda un Eiropas Jūrlietu un zivsaimniecības fonda (2014.–2020. gada periodā) (2021/C 417/01) (https://www.esfondi.lv/upload/Vadlinijas/2014-2020_slegsanas-vadlinijas_apst_14.12.2022.pdf ) (turpmāk – EK slēgšanas vadlīnijas) 6. sadaļai “divu periodu projekts”, sadārdzinājuma segšanai nepieciešamo finansējumu piesaistot no 4.1.1.1. pasākuma pirmās kārtas. Minētais projekts atbilst divu periodu projektam, līdz ar to, projekta ietvaros ir sasniedzami gan šī normatīvā regulējuma, gan ES fondu 2014. - 2020. 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projekta mērķi un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4.1.1.1. pasākuma pirmās kārtas ietvaros jāņem vērā, ka SIA "Rīgas Austrumu klīniskā universitātes slimnīca" (turpmāk – RAKUS) slimnīcas infrastruktūras attīstībai ES fondu 2021.- 2027. gada plānošanas perioda ERAF SAM 4.1.1. ietvaros ir iezīmēts finansējums 46 759 513 </w:t>
      </w:r>
      <w:r w:rsidR="00000000" w:rsidRPr="00000000" w:rsidDel="00000000">
        <w:rPr>
          <w:i w:val="1"/>
          <w:rtl w:val="0"/>
        </w:rPr>
        <w:t xml:space="preserve">euro</w:t>
      </w:r>
      <w:r w:rsidR="00000000" w:rsidRPr="00000000" w:rsidDel="00000000">
        <w:rPr>
          <w:rtl w:val="0"/>
        </w:rPr>
        <w:t xml:space="preserve"> apmērā, kas paredzēts sekojošām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Infekciju slimību un plaušu veselības korpusa iekārtām un aprīkojumam – 10 039 027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Stacionāra "Gaiļezers" ārstniecības nodaļu atjaunošanai – 13 651 480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Onkoloģijas centra attīstībai – 23 069 006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ES fondu 2014.-2020.gada plānošanas perioda ietvaros īstenotais RAKUS projekts Nr. 9.3.2.0/17/I/004 “SIA “Rīgas Austrumu klīniskā universitātes slimnīca” infrastruktūras attīstība” (turpmāk - I kārtas projekts) tiks pabeigts atbilstoši EK slēgšanas vadlīniju 6. sadaļai kā “divu periodu projekts”, sadārdzinājuma segšanai nepieciešamo finansējumu piesaistot no 4.1.1.1. pasākuma pirmās kārtas. Attiecīgi, lai nodrošinātu projekta mērķu un rādītāju sasniegšanu, kā arī projekta funkcionalitāti, I kārtas projekts tiks posmots un atsevišķās darbības tiks pārceltas un finansētas no ES fondu 2021.-2027.gada plānošanas perioda finansējuma, paredzot, ka nepieciešamais plānotais finansējums 13 651 479,30 </w:t>
      </w:r>
      <w:r w:rsidR="00000000" w:rsidRPr="00000000" w:rsidDel="00000000">
        <w:rPr>
          <w:i w:val="1"/>
          <w:rtl w:val="0"/>
        </w:rPr>
        <w:t xml:space="preserve">euro</w:t>
      </w:r>
      <w:r w:rsidR="00000000" w:rsidRPr="00000000" w:rsidDel="00000000">
        <w:rPr>
          <w:rtl w:val="0"/>
        </w:rPr>
        <w:t xml:space="preserve"> (ar PVN) apmērā “Stacionāra “Gaiļezers” ārstniecību nodaļu 2. kārtas” ārstniecības nodaļu atjaunošanai tiks segts no 4.1.1.1. pasākuma iezīmētā finansējuma un finansējums 753 666,56 </w:t>
      </w:r>
      <w:r w:rsidR="00000000" w:rsidRPr="00000000" w:rsidDel="00000000">
        <w:rPr>
          <w:i w:val="1"/>
          <w:rtl w:val="0"/>
        </w:rPr>
        <w:t xml:space="preserve">euro</w:t>
      </w:r>
      <w:r w:rsidR="00000000" w:rsidRPr="00000000" w:rsidDel="00000000">
        <w:rPr>
          <w:rtl w:val="0"/>
        </w:rPr>
        <w:t xml:space="preserve"> tiks segts no RAKUS projekta Nr.9.3.2.0/21/I/001 “SIA “Rīgas Austrumu klīniskā universitātes slimnīca” ēkas Hipokrāta ielā 4 infrastruktūras attīstība” līdzekļiem. Tāpat kā PSKUS lielais projekts, augstāk minētais RAKUS projekts atbilst divu periodu projektam un projekta ietvaros ir sasniedzami gan šī normatīvā regulējuma, gan ES fondu 2014. - 2020. 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projekta mērķi un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pasākuma ietvaros VSIA “Paula Stradiņa klīniskā universitātes slimnīca” jau ir iezīmēts finansējums jaunā B korpusa būvniecībai. Plānotais finansējums apstiprināts ar Ministru kabineta 2021. gada 7. septembra protokollēmumu Nr. 60 54. § “Informatīvais ziņojums “Par VSIA “Paula Stradiņa klīniskā universitātes slimnīca” jaunā B korpusa attīstību”” (https://tap.mk.gov.lv/mk/mksedes/saraksts/protokols/?protokols=2021-09-07) (turpmāk – MK protokollēmums Nr.60). MK protokollēmuma Nr. 60 54. § 2. punkts nosaka - pieņemt zināšanai, ka VSIA "Paula Stradiņa klīniskā universitātes slimnīca" B korpusa attīstībai plānots finansējums līdz 151 milj. </w:t>
      </w:r>
      <w:r w:rsidR="00000000" w:rsidRPr="00000000" w:rsidDel="00000000">
        <w:rPr>
          <w:i w:val="1"/>
          <w:rtl w:val="0"/>
        </w:rPr>
        <w:t xml:space="preserve">euro</w:t>
      </w:r>
      <w:r w:rsidR="00000000" w:rsidRPr="00000000" w:rsidDel="00000000">
        <w:rPr>
          <w:rtl w:val="0"/>
        </w:rPr>
        <w:t xml:space="preserve">, piesaistot finanšu līdzekļus no ES struktūrfondu un Kohēzijas fonda 2021.–2027.gada plānošanas perioda ietvaros pieejamā ERAF finansējuma. Savukārt, ņemot vērā to, ka šobrīd vēl nav zināmas pilnas jaunā B korpusa būvniecības izmaksas un nav zināmi šo izmaksu finansēšanas avoti, tika lemts pēc attiecīgās informācijas iegūšanas šo normatīvo regulējumu papildināt ar 4.1.1.2. pasākuma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pasākuma projekta iesnieguma vērtēšanas kritēriji 2022. gada 29. septembrī tika apstiprināti ES Kohēzijas politikas fondu 2021. -2027. gada plānošanas perioda Apakškomitejas sēdē un 2023. gada 26. janvārī apstiprināti ES Kohēzijas politikas fondu 2021. -2027. gada plānošanas perioda Uzraudzības komitejas sēdē. 2023. gada 21.martā atbildīgā iestāde ir iesniegusi grozījumus pasākuma kritērijos, pievienojot kritēriju piemērošanu attiecībā uz Valsts tiesu medicīnas ekspertīzes centru (turpmāk - VTMEC), kurš tiek atbalstīts 4.1.1. pasākuma projekta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VTMEC valsts deleģēto funkciju izpildi un nepārtrauktību ir nepieciešams attīstīt ar tiesu medicīnas ekspertīžu un vardarbībā cietušo personu ekspertīžu pakalpojumu sniegšanu saistīto infrastruktūru, kura šobrīd ir kritiskā stāvoklī un nav piemērota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Ēkas Hipokrāta ielā 2 (17. korpuss), kas ir siltināta, projektēšanai un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Ēkas Hipokrāta ielā 2 k-6, 1. kārtas projektēšanai un pārbūvei.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 pasākuma projekta iesnieguma vērtēšanas kritēriji ir izskatīti un apstiprināti ES fondu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4.1.1.5. pasākuma “Neatliekamās medicīniskās palīdzības dienesta attīstība” ietvaros paredzēts atbalsts</w:t>
      </w:r>
      <w:r w:rsidR="00000000" w:rsidRPr="00000000" w:rsidDel="00000000">
        <w:rPr>
          <w:rtl w:val="0"/>
        </w:rPr>
        <w:t xml:space="preserve"> Neatliekamās medicīniskās palīdzības dienesta (turpmāk – NMPD) attīstībai. Pirmsslimnīcas neatliekamo medicīnisko palīdzību sniedz Neatliekamās medicīniskās palīdzības dienests. Neatliekamo medicīnisko palīdzību pirmsslimnīcas etapā nodrošina 190 brigādes 102 atrašanas vietās. Neatliekamās medicīniskās palīdzības dienesta brigāde neatliekamo medicīnisko palīdzību cietušajam (saslimušajam) sniedz notikuma vietā, kā arī transportēšanas laikā uz atbilstošu ārstniecības iestādi, saskaņā ar hospitalizācijas plānu, šādos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nelaimes gadījumi, avārijas, katastrofas, smagas mehāniskās, termiskās, ķīmiskās un kombinētās traumas, elektrotraumas, svešķermeņi elpošanas ceļos, slīkšana, smakšana, saindēšanās;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pēkšņa saslimšana vai trauma sabiedriskā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pēkšņa saslimšana vai hronisku slimību paasināšanās, kas apdraud personas dzīvību;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dzīvībai un veselībai kritiskā stāvoklī esoša cietušā (saslimušā) neatliekama pārvešana, kā arī dzemdētājas nogādāšana atbilstoši veselības stāvoklim tuvākajā attiecīgajā ārstniecības iestādē vai no ārstniecības iestādes uz stacionāru vai augstāka līmeņa stacionārās ārstniecības iestādi (specializēto centru, universitātes klīniku).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 gadu Latvijā ir izveidoti 14 pirmsslimnīcas etapa neatliekamās medicīniskās palīdzības nodrošināšanai atbilstoši brigāžu atbalsta centri Latvijas lielākajās pilsētās, ņemot vērā izsaukumu skaitu un pacientu hospitalizācijas iespējas. Bet, izvērtējot NMPD esošo brigāžu atbalsta centru pašreizējo izvietojumu visā NMPD darbības teritorijā un to darbības efektivitāti, nepieciešams izveidot trīs papildus brigāžu atbalsta centrus (Ogrē, Jūrmalā un Jelgavā), paredzot to ģeogrāfisko izvietojumu tuvāk pakalpojumu saņēmējiem reģionos, samazinot materiāltehniskā nodrošinājuma trūkuma dēļ patērēto laiku un nobrauktos kilometrus, tādējādi uzlabojot pakalpojuma pieejamību iedzīvotājiem reģionos.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specifiskā atbalsta mērķa ietvaros pārējām MK noteikumos Nr. 555 noteiktajām ārstniecības iestādēm, tiks noteikts atsevišķā regulējumā, ievērojot Nacionālajā attīstības plānā 2021. - 2027. gadam (https://www.pkc.gov.lv/sites/default/files/inline-files/NAP2027_apstiprin%C4%81ts%20Saeim%C4%81_1.pdf) un infrastruktūras investīciju stratēģijā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10" w:space="0"/>
          <w:left w:color="auto" w:val="single" w:sz="10" w:space="0"/>
          <w:bottom w:color="auto" w:val="single" w:sz="10" w:space="0"/>
          <w:right w:color="auto" w:val="single" w:sz="10" w:space="0"/>
          <w:insideH w:color="auto" w:val="single" w:sz="10" w:space="0"/>
          <w:insideV w:color="auto" w:val="single" w:sz="10" w:space="0"/>
        </w:tblBorders>
        <w:tblLayout w:type="fixed"/>
        <w:tblLook w:val="0600"/>
      </w:tblPr>
      <w:tblGrid>
        <w:gridCol w:w="375"/>
        <w:gridCol w:w="6404"/>
        <w:gridCol w:w="2411"/>
        <w:tblGridChange w:id="0">
          <w:tblGrid>
            <w:gridCol w:w="375"/>
            <w:gridCol w:w="6404"/>
            <w:gridCol w:w="241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Infrastruktūras investīciju stratēģijā plānotais finansējums</w:t>
            </w:r>
            <w:r w:rsidR="00000000" w:rsidRPr="00000000" w:rsidDel="00000000">
              <w:rPr>
                <w:sz w:val="24"/>
                <w:rtl w:val="0"/>
              </w:rPr>
              <w:t xml:space="preserve">,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"Ārstniecības iestāžu infrastruktūras attīstība" 1 .- 4. kārta KOPĀ,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124 549 445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1. kārta (V - VI līmeņa un Valsts tiesu medicīnas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96 688 876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4.1.1.1. pasākuma "Ārstniecības iestāžu infrastruktūras attīstība" 2. kārta (I -III līmeņa un pārējās slimnīcas)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15 089 807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4.1.1.1. pasākuma "Ārstniecības iestāžu infrastruktūras attīstība" 3. kārta (Psihiatrijas profila 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7 957 886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4.1.1.1. pasākuma "Ārstniecības iestāžu infrastruktūras attīstība" 4. kārta (Sekundāro ambulatoro veselības aprūpes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4 812 876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 pasākums "P.Stradiņa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134 894 350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 pasākums "Primārās veselības aprūpes lomas stiprināšana, attīstot infrastruktūru"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12 307 060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4.1.1.6. pasākums "Hroniski slimo un nedziedināmi slimo pacientu aprūpei nepieciešamās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16 021 244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 SAM ietvaros plānotais finansējums, izņemot 4.1.1.4.pasākumu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295 972 099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ES fondu 2021. – 2027. gada plānošanas perioda investīciju plūsmas intensificēšanu ir jāizpilda EK pieprasāmo izdevumu minimālais apmērs kumulatīvi 2025. gadā turpmāk līdz 2030. gadam (n + 3 mērķis), lai nezaudētu ES fondu “piešķīrumu” atbilstoši starpībai starp mērķi un izpildi</w:t>
      </w:r>
      <w:r w:rsidR="00000000" w:rsidRPr="00000000" w:rsidDel="00000000">
        <w:rPr>
          <w:vertAlign w:val="superscript"/>
          <w:rtl w:val="0"/>
        </w:rPr>
        <w:t xml:space="preserve">[2]</w:t>
      </w:r>
      <w:r w:rsidR="00000000" w:rsidRPr="00000000" w:rsidDel="00000000">
        <w:rPr>
          <w:rtl w:val="0"/>
        </w:rPr>
        <w:t xml:space="preserve">. Atbilstoši atbildīgo iestāžu 2023. gada 25. janvāra prognozēm</w:t>
      </w:r>
      <w:r w:rsidR="00000000" w:rsidRPr="00000000" w:rsidDel="00000000">
        <w:rPr>
          <w:vertAlign w:val="superscript"/>
          <w:rtl w:val="0"/>
        </w:rPr>
        <w:t xml:space="preserve">[3]</w:t>
      </w:r>
      <w:r w:rsidR="00000000" w:rsidRPr="00000000" w:rsidDel="00000000">
        <w:rPr>
          <w:rtl w:val="0"/>
        </w:rPr>
        <w:t xml:space="preserve"> deklarējamo izdevumu minimālajam apjomam tiek paredzētas sekojošas </w:t>
      </w:r>
      <w:r w:rsidR="00000000" w:rsidRPr="00000000" w:rsidDel="00000000">
        <w:rPr>
          <w:b w:val="1"/>
          <w:rtl w:val="0"/>
        </w:rPr>
        <w:t xml:space="preserve">Pasākuma projektu iesniegumu atlases: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kā sadarbības iestāde (turpmāk – sadarbības iestāde) 4.1.1.1. pasākuma projektu iesniegumu atlases ietvaros organizē ierobežotas projektu iesniegumu atlases, uzaicinot tajā piedalīties šo noteikumu pielikumā minētos katra pasākuma projekta iesniedzējus, izskatot šādu iespēju kā 4.1.1.1. pasākuma pirmās kārtas ietvaros projektu iesniegumu atlasi organizēt ne vēlāk kā viena mēneša laikā pēc šo noteikumu spēkā stāšanas, savukārt 4.1.1.5. pasākuma ietvaros -  ne vēlāk kā divu mēnešu laikā pēc šo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mērķis</w:t>
      </w:r>
      <w:r w:rsidR="00000000" w:rsidRPr="00000000" w:rsidDel="00000000">
        <w:rPr>
          <w:rtl w:val="0"/>
        </w:rPr>
        <w:t xml:space="preserve"> ir nodrošināt vienlīdzīgu piekļuvi veselības aprūpei un stiprināt veselības sistēmu, attīstot veselības aprūpes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mērķa grupa</w:t>
      </w:r>
      <w:r w:rsidR="00000000" w:rsidRPr="00000000" w:rsidDel="00000000">
        <w:rPr>
          <w:rtl w:val="0"/>
        </w:rPr>
        <w:t xml:space="preserve"> ir visi Latvijas iedzīvotāji, veselības aprūpes pakalpojumu sniedzēji, ministrijas padotības iestādes,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Sasniedzamie iznākuma un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pirmās kārtas sasniedzamais </w:t>
      </w:r>
      <w:r w:rsidR="00000000" w:rsidRPr="00000000" w:rsidDel="00000000">
        <w:rPr>
          <w:b w:val="1"/>
          <w:u w:val="single"/>
          <w:rtl w:val="0"/>
        </w:rPr>
        <w:t xml:space="preserve">iznākuma rādītājs</w:t>
      </w:r>
      <w:r w:rsidR="00000000" w:rsidRPr="00000000" w:rsidDel="00000000">
        <w:rPr>
          <w:rtl w:val="0"/>
        </w:rPr>
        <w:t xml:space="preserve"> ir jaunu vai modernizētu veselības aprūpes iestāžu kapacitāte - līdz 2029. gada 31. decembrim sasniedzot, ka pasākuma ietvaros izveidotās vai uzlabotās veselības aprūpes iestādes vismaz vienu reizi gada laikā apmeklēs 2 226 984 iedzīvotāji. (Darbības programmas rādītājs RCO69).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atbalsta mērķa </w:t>
      </w:r>
      <w:r w:rsidR="00000000" w:rsidRPr="00000000" w:rsidDel="00000000">
        <w:rPr>
          <w:b w:val="1"/>
          <w:u w:val="single"/>
          <w:rtl w:val="0"/>
        </w:rPr>
        <w:t xml:space="preserve">iznākuma rādītājs</w:t>
      </w:r>
      <w:r w:rsidR="00000000" w:rsidRPr="00000000" w:rsidDel="00000000">
        <w:rPr>
          <w:rtl w:val="0"/>
        </w:rPr>
        <w:t xml:space="preserve"> ir noslēgto līgumu īpatsvars par ieguldījumiem veselības aprūpes infrastruktūras objektos - līdz 2029. gada 31. 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 no pasākumiem pieejamā kopējā attiecināmā finansējuma, kas ietver ES fondu finansējumu un nacionālo līdzfinansējumu, attiecīgi iekļaujot datus no 4.1.1.1., 4.1.1.2. un 4.1.1.5. pasākuma, kā arī no 4.1.1.3. pasākuma “Primārās veselības aprūpes lomas stiprināšana, attīstot infrastruktūru” (turpmāk – 4.1.1.3. pasākums) un 4.1.1.6. pasākuma “Hroniski slimo un nedziedināmi slimo pacientu aprūpei nepieciešamās infrastruktūras attīstība” (turpmāk – 4.1.1.6. pasākums). (Darbības programmas rādītājs i.4.1.1.a).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mērķa </w:t>
      </w:r>
      <w:r w:rsidR="00000000" w:rsidRPr="00000000" w:rsidDel="00000000">
        <w:rPr>
          <w:b w:val="1"/>
          <w:u w:val="single"/>
          <w:rtl w:val="0"/>
        </w:rPr>
        <w:t xml:space="preserve">rezultāta rādītājs</w:t>
      </w:r>
      <w:r w:rsidR="00000000" w:rsidRPr="00000000" w:rsidDel="00000000">
        <w:rPr>
          <w:rtl w:val="0"/>
        </w:rPr>
        <w:t xml:space="preserve"> ir personu skaits, kuras izmanto jaunu vai modernizētu veselības aprūpes iestāžu pakalpojumus, skaits gadā - līdz 2029. gada 31. decembrim sasniedzot vērtību 3 878 460 lietotāju gadā, ko iegūst no 4.1.1.1., 4.1.1.2., 4.1.1.3. un 4.1.1.6. pasākuma. (Darbības programmas rādītājs RCR 73), tai skaitā 4.1.1.1. pasākuma pirmās kārtas ietvaros – 2 024 531 lietotāji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u w:val="single"/>
          <w:rtl w:val="0"/>
        </w:rPr>
        <w:t xml:space="preserve">4.1.1.5. pasākuma specifiskais iznākuma rādītājs</w:t>
      </w:r>
      <w:r w:rsidR="00000000" w:rsidRPr="00000000" w:rsidDel="00000000">
        <w:rPr>
          <w:rtl w:val="0"/>
        </w:rPr>
        <w:t xml:space="preserve"> ir Neatliekamās medicīniskās palīdzības pakalpojumu sniegšanas efektivitātes uzlabošana, izveidojot 3 brigāžu atbalsta centrus tuvāk pakalpojumu saņēmējiem reģionos. (Darbības programmas rādītājs i.4.1.1.b).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4.1.1. SAM pasākumu ietvaros plānotajiem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10" w:space="0"/>
          <w:left w:color="auto" w:val="single" w:sz="10" w:space="0"/>
          <w:bottom w:color="auto" w:val="single" w:sz="10" w:space="0"/>
          <w:right w:color="auto" w:val="single" w:sz="10" w:space="0"/>
          <w:insideH w:color="auto" w:val="single" w:sz="10" w:space="0"/>
          <w:insideV w:color="auto" w:val="single" w:sz="10" w:space="0"/>
        </w:tblBorders>
        <w:tblLayout w:type="fixed"/>
        <w:tblLook w:val="0600"/>
      </w:tblPr>
      <w:tblGrid>
        <w:gridCol w:w="774"/>
        <w:gridCol w:w="1607"/>
        <w:gridCol w:w="737"/>
        <w:gridCol w:w="973"/>
        <w:gridCol w:w="719"/>
        <w:gridCol w:w="973"/>
        <w:gridCol w:w="756"/>
        <w:gridCol w:w="1009"/>
        <w:gridCol w:w="737"/>
        <w:tblGridChange w:id="0">
          <w:tblGrid>
            <w:gridCol w:w="774"/>
            <w:gridCol w:w="1607"/>
            <w:gridCol w:w="737"/>
            <w:gridCol w:w="973"/>
            <w:gridCol w:w="719"/>
            <w:gridCol w:w="973"/>
            <w:gridCol w:w="756"/>
            <w:gridCol w:w="1009"/>
            <w:gridCol w:w="7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ERAF</w:t>
            </w:r>
            <w:r w:rsidR="00000000" w:rsidRPr="00000000" w:rsidDel="00000000">
              <w:rPr>
                <w:sz w:val="24"/>
                <w:rtl w:val="0"/>
              </w:rPr>
              <w:t xml:space="preserv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Intervences laukums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ERAF</w:t>
            </w:r>
            <w:r w:rsidR="00000000" w:rsidRPr="00000000" w:rsidDel="00000000">
              <w:rPr>
                <w:sz w:val="24"/>
                <w:rtl w:val="0"/>
              </w:rPr>
              <w:t xml:space="preserv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Intervences laukums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ERAF</w:t>
            </w:r>
            <w:r w:rsidR="00000000" w:rsidRPr="00000000" w:rsidDel="00000000">
              <w:rPr>
                <w:sz w:val="24"/>
                <w:rtl w:val="0"/>
              </w:rPr>
              <w:t xml:space="preserv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Intervences laukums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ERAF</w:t>
            </w:r>
            <w:r w:rsidR="00000000" w:rsidRPr="00000000" w:rsidDel="00000000">
              <w:rPr>
                <w:sz w:val="24"/>
                <w:rtl w:val="0"/>
              </w:rPr>
              <w:t xml:space="preserve">,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105 867 028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16 938 725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21 173 406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67 754 897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P.Stradiņa klīniskās universitātes slimnīcas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114 660 197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18 345 631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22 932 039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73 382 527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10 461 001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1 673 760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2 092 200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6 695 041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projektu iesniegumu atlases īsteno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atbildīgās iestādes funkcijas pilda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projekta iesniedzējiem, izņemot VTMEC, komercdarbības atbalsts tiek sniegts saskaņā ar 2022. gada 20. decembra Komisijas lēmumu 2012/21/ES par Līguma par Eiropas Savienības darbību 106. panta 2. punkta piemērošanu valsts atbalstam attiecībā uz kompensāciju par sabiedriskajiem pakalpojumiem dažiem uzņēmumiem, kuriem uzticēts sniegt pakalpojumus ar vispārēju tautsaimniecisku (turpmāk – VTNP) nozīmi (turpmāk – Eiropas Komisijas lēmums Nr. 2012/21/ES).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VTNP un Eiropas Komisijas lēmuma Nr.2012/21/ES galvenais deleģētājs ir Nacionālais veselības dienests (turpmāk – pilnvarojuma uzlicējs), kurš ministrijas vārdā slēdz līgumus par valsts apmaksāto veselības aprūpes VTNP pakalpojumu īstenošanu un nodrošina VTNP un Eiropas Komisijas lēmuma Nr.2012/21/ES prasību ievērošanu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atbilstoši normatīvajiem aktiem par veselības aprūpes organizēšanas un samaksas kārtību ir noslēdzis ar Nacionālo veselības dienestu deleģēšanas līgumu par valsts apmaksātajiem stacionārajiem un ambulatorajiem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komercdarbības atbalsta piešķiršanas dienu ir uzskatāma diena, kad sadarbības iestāde sniedz atzinumu par projekta apstiprināšanu vai projekta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Eiropas Komisijas lēmuma Nr.2012/21/ES nosacījumu ievērošanas kontroli un uzraudzību nodrošina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uzlicējam un finansējuma saņēmējam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komercdarbības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4.1.1.5 pasākuma finansējuma saņēmējam  - NMPD - atbalsts tiek sniegts deleģētās valsts funkcijas nodrošināšanai un tas nav kvalificējams kā komercdarbības atbalsts. Finansējuma saņēmējs valsts deleģētās funkcijas īstenošanai paredzētās darbības un izmaksas nodala no citiem pakalpojumiem (tostarp maksas pakalpojumiem). Infrastruktūra, kurā tiks veikti ieguldījumi, netiks izmantota maksas pakalpojumu sniegšanai, jo šādu pakalpojumu sniegšanai NMPD izmanto atsevišķos transportlīdzekļus un šos pakalpojumus sniedz tikai Rīgā. Savukārt, 4.1.1.5. pasākuma ietvaros plānotie 3 brigāžu atbalsta centri tiks izveidoti ārpus Rīgas.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1.13. ailē minētajam 4.1.1.1. pasākuma projekta iesniedzējam -  VTMEC - atbalsts tiek sniegts deleģētās valsts funkcijas nodrošināšanai un tas nav kvalificējams kā komercdarbības atbalsts, tostarp minētajam finansējuma saņēmējam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VTMEC infrastruktūrā papildinošās saimnieciskās darbības apmērs pārsniedz 20 procentus vai ēkā tiek veikta cita veida saimnieciskā darbība, uz atbalstu 4.1.1.1. pasākuma ietvaros nevar pretendēt un projekta iesniedzējam proporcionāli šai infrastruktūras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Papildinošās saimnieciskās darbības aprēķina veidu nav pieļaujams mainīt projekta īstenošanas laikā. Aprēķins veicams atbilstoši sākotnēji izvēlētajam veidam platības, laika vai finanšu izteiksmē. Veikto investīciju atbilstības uzraudzību nosacījumiem reizi gadā visā projekta dzīves ciklā nodrošina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līdz projekta atlases uzsākšanai izstrādā papildinošās saimnieciskās darbības metodiku, lai korekti piešķirtu finansējumu un tas nekvalificētos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“Kārtība, kādā Eiropas Savienības fondu vadībā iesaistītās institūcijas nodrošina šo fondu ieviešanu 2021.–2027.gada plānošanas periodā” (22-TA-2143) protokollēmumā noteikto -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 Attiecīgi skaidrojam, ka  SAM ietvaros atbalsts infrastruktūras attīstībai tiek piemērots saskaņā ar Eiropas Komisijas lēmuma Nr.2012/21/ES nosacījumiem vai deleģētās funkcijas izpildei. Ārstniecības pakalpojumi ir valsts nozīmes tautsaimniecības pakalpojumi, kuri vajadzīgi valsts uzdevumu izpildei un tiek deleģēti izpildei atsevišķiem uzņēmumiem publiskām vai privātām ārstniecības iestādēm.  Uzraudzības procesā tiek sekots līdzi, lai ieņēmumi var pārsniegt izdevumus tikai saprātīgas peļņas procenta apmērā. Šo pārkompensāciju uzrauga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atbalsts piešķirams tikai infrastruktūras, kurā tiek nodrošināti valsts apmaksātie veselības aprūpes pakalpojumi, attīstībai, tādejādi finansējuma saņēmējam ir pienākums aprēķināt infrastruktūras izmantošanas atbalstāmo darbību proporciju valsts apmaksāto veselības aprūpes pakalpojumu sniegšanai un citu darbību veikšanai (turpmāk - infrastruktūras izmantošanas proporcija) un piemērot to projekta kopējam finansējumam, nosakot publiskā un privātā finansējuma apmēru. Proporcionāli infrastruktūras izmantošanai citiem mērķiem (maksas pakalpojumiem) paredzēts piesaistīt pašu privāto līdzfinansējumu, tādejādi nodrošinot godīgu konkurenci un neietekmējot tirgus dalībniekus, ar to, ka publiska nauda tiek dota ne tikai valsts apmaksātu (publisku) veselības aprūpes pakalpojumu sniegšanai, bet arī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aprēķina metodiku izstrādā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izmantošanas proporcijas piemērošanu uzrauga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infrastruktūras izmantošanas proporciju iesniedz sadarbības iestādei iesniedzot projekta iesniegumu un iesniedzot projekta noslēguma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līguma vai vienošanās par projekta īstenošanu noslēgšanas palielinās projekta publisko izmaksu maksimālais apmērs, atbalsta sniedzējs kopējās publiskās projekta attiecināmās izmaksas nepalielina. Finansējuma saņēmējs, iesniedzot projekta noslēguma maksājuma pieprasījumu, nodrošina, ka aprēķinātais projekta kopējais publisko izmaksu maksimālais apmērs atbilst piešķirtajam kopējam publisko izmaksu maksimālajam apmēram, palielinot šo noteikumu noteikto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uzdevums - nepieciešamību finansējuma saņēmējam veikt izmaksu un ieguvumu analīzi Eiropas Savienības fondu projektiem praktiski dublē Eiropas Komisijas lēmuma Nr.2012/21/ES nosacījumus un vairo administratīvo slogu un nedod ieguvumu analīzē gaidīto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īstenošanas laikā saskaņā ar līgumu vai vienošanos par projekta īstenošanu finansējuma saņēmējs var saņemt avansa maksājumu saskaņā ar pakalpojumu, preču piegādes vai būvdarbu līgumu un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ERAF finansējuma. Šāds avansa apjoms pieļaujams, ņemot vērā nepieciešamību nodrošināt pēc iespējas ātrāku projektu īstenošanas uzsākšanu. Ir pieļaujams, ka par projekta būvniecības darbībām projekta iesnieguma iesniegšanas brīdī jau ir noslēgts būvdarbu līgums un uzsākti būvdarbi. Avansa apjoms katram projektam ir nosakāms individuāli. Nosakot projekta avansa apmēru, ņem vērā finansējuma saņēmēja spēju sešu mēnešu laikā pēc avansa maksājuma saņemšanas iesniegt sadarbības iestādē maksājuma pieprasījumu piešķirtā avansa maksājuma apmērā. Avansa maksājumu ir iespējams saņemt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infrastruktūras, kurā tiek nodrošināta valsts apmaksāti veselības aprūpes pakalpojumi, attīstības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iegāde, piegāde un montāža;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publicitātes pasākumu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“projekta vadības nodrošināšana” ir attiecināmas finansējuma saņēmēja projekta vadības personāla atlīdzības izmaksas, kas radušās uz darba līguma vai uzņēmuma līguma pamata, tai skaitā normatīvajos aktos noteiktās piemaksas un nodokļi,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projekta tiešās attiecināmās izmaksas ir virs 5 000 000 </w:t>
      </w:r>
      <w:r w:rsidR="00000000" w:rsidRPr="00000000" w:rsidDel="00000000">
        <w:rPr>
          <w:i w:val="1"/>
          <w:rtl w:val="0"/>
        </w:rPr>
        <w:t xml:space="preserve">euro</w:t>
      </w:r>
      <w:r w:rsidR="00000000" w:rsidRPr="00000000" w:rsidDel="00000000">
        <w:rPr>
          <w:rtl w:val="0"/>
        </w:rPr>
        <w:t xml:space="preserve"> – nepārsniedzot 84 787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 ierobežojumu aprēķina ar minimālo izmaksu bāzi 34 422 </w:t>
      </w:r>
      <w:r w:rsidR="00000000" w:rsidRPr="00000000" w:rsidDel="00000000">
        <w:rPr>
          <w:i w:val="1"/>
          <w:rtl w:val="0"/>
        </w:rPr>
        <w:t xml:space="preserve">euro</w:t>
      </w:r>
      <w:r w:rsidR="00000000" w:rsidRPr="00000000" w:rsidDel="00000000">
        <w:rPr>
          <w:rtl w:val="0"/>
        </w:rPr>
        <w:t xml:space="preserve"> gadā, pieskaitot 0,64 procenti no projekta tiešajām attiecināmajām izmaksām, bet neieskaitot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personāla iesaisti projektā nodrošina saskaņā ar daļlaika attiecināmības principu (attiecināms, ja izmaksas radušās uz darba līguma pamata),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“būvniecība” ietvaros ir attiecināmas būvprojekta minimālā sastāvā un būvprojekta izstrādes izmaksas, funkcionālā plānojuma un tehniskās specifikācijas izstrādes izmaksas, projekta ekspertīžu izmaksas, autoruzraudzības un būvuzraudzības izmaksas un normatīvajos aktos noteiktās attiecīgo būvspeciālistu obligātās apdrošināšanas izmaksas ar nosacījumu, ka tās nepārsniedz 10 procentus no projekta kopējām attiecināmajām izmaksām, un būvniecības izmaksas, tajā skaitā demontāžas izmaksas un izmaksas, kas saistītas ar objektu nodošanu ekspluatācijā – ir attiecināmas visas ar būvniecību saistītās izmaksas saskaņā ar Būvniecības likumu. Atbilstoši Būvdarbu likumam būvdarbi ir - būvniecības procesa sastāvdaļa, darbi, kurus veic būvlaukumā vai būvē, lai radītu būvi, novietotu iepriekš izgatavotu būvi vai tās daļu, pārbūvētu, atjaunotu, restaurētu, iekonservētu, nojauktu būvi vai ierīkotu inženiertīklu. Savukārt būvniecība ir - visu veidu būvju projektēšana un būvdarbi. Likuma 3. pants noteic - darbības jomu – proti, likumu piemēro jaunu būvju būvniecībai, kā arī esošu būvju pārbūvei, atjaunošanai, restaurācijai, nojaukšanai, novietošanai, lietošanas veida maiņai bez pārbūves un konservācijai.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abiem terminiem izriet, ka ir attiecināmas gan jauna būvniecība, gan nojaukšana, gan atjaunošanas un pārbūves darbi, u.c. atbilstoši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“tehnoloģiju iegāde, piegāde un montāža” ietvaros ir attiecināmas ārstniecības procesam tieši nepieciešamo tehnoloģiju piegādes (t.sk. iegādes, piegādes un montāžas) izmaksas, proti medicīniskās tehnoloģijas, t.sk. iebūvējamās medicīniskās tehnoloģijas, iekārtas, ierīces, mēbeles, un aprīkojums, cits aprīkojums telpu funkcionalitātes nodrošināšanai, kā arī informācijas tehnoloģiju aprīkojums (piemēram, datori, printeri, rindu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 pasākuma ietvaros NMPD ir atbalstāmas tehniskā nodrošinājuma izmaksas jeb operatīvo medicīnisko transportlīdzekļu autoparka atjaunošanai ir atbalstāmas tehniskā nodrošinājuma iegādes izmaksas, kas ietver ar operatīvo medicīnisko transportlīdzekļu iegādi, piegādi un aprīkošanu saistītos izdevumus, bet nav atbalstāmi uzturēšanas izdevumi. Saskaņā ar Eiropas Parlamenta un Padomes 2021. gada 24. jūnija regulā (ES) Nr. 2021/1058 par Eiropas Reģionālās attīstības fondu un Kohēzijas fondu 7.pantā noteikto no ERAF un Kohēzijas fonda finansējuma drīkst iegādāties tikai tādus transportlīdzekļus, kas atbilst Eiropas Parlamenta un Padomes 2009. gada 23. aprīļa direktīvas (ES) Nr. 2009/33/EK par “tīro” un energoefektīvo autotransporta līdzekļu izmantošanas veicināšanu (turpmāk - direktīva Nr. 2009/33/EK) nosacījumiem. Savukārt, atbilstoši Eiropas Parlamenta un Padomes 2019. gada 20. jūnija direktīvai (ES) Nr. 2019/1161, ar ko groza Direktīvu 2009/33/EK par “tīro” un energoefektīvo autotransporta līdzekļu izmantošanas veicināšanu, dalībvalstis no direktīvas Nr. 2009/33/EK prasībām var atbrīvot transportlīdzekļus, kas minēti Eiropas Parlamenta un Padomes 2018. gada 30. maija regulas (ES) Nr. 2018/858 (turpmāk – regula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2. panta 2. punkta d) apakšpunktā un 2. panta 3. punkta a) un b) apakšpunktā un minētās regulas I pielikuma A daļas 5.2–5.5. punktā un 5.7. punktā, tai skaitā neatliekamās medicīniskās palīdzības transportlīdzekļus, kas ir minēti regulas Nr. 2018/858 I pielikuma A daļas 5.3.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projektā, attiecinot medicīniskās tehnoloģijas, kuru vienas vienības piegādes izmaksas pārsniedz 20 000 </w:t>
      </w:r>
      <w:r w:rsidR="00000000" w:rsidRPr="00000000" w:rsidDel="00000000">
        <w:rPr>
          <w:i w:val="1"/>
          <w:rtl w:val="0"/>
        </w:rPr>
        <w:t xml:space="preserve">euro</w:t>
      </w:r>
      <w:r w:rsidR="00000000" w:rsidRPr="00000000" w:rsidDel="00000000">
        <w:rPr>
          <w:rtl w:val="0"/>
        </w:rPr>
        <w:t xml:space="preserve"> (ar PVN), nepieciešams ministrijas saskaņojums. Ministrija izveido tehnoloģijas skaņošanas darba grupu un nosaka tās kārtību, tostarp par projekta ietvaros iegādājamajām iekārtām, kuru vienas vienības piegādes izmaksas nepārsniedz 20 000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“informācijas un publicitātes pasākumu nodrošināšana” ietvaros ir attiecināmas informācijas un publicitātes nodrošināšanas izmaksas atbilstoši regulas Nr.2021/1060 47. un 50. pantā noteiktajām prasībām, kā arī atbilstoši normatīvajiem aktiem par ES fondu ieviešanu 2021. – 2027. gada plānošanas periodā, kā arī ievēro saistītās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atbalstāmo darbību īstenošanai ir attiecināmas neparedzētās izmaksas līdz pieciem procentiem no projekta kopējām tiešajām attiecināmajām izmaksām. Neparedzētās izmaksas ir izmaksas par papildu darbu vai pakalpojumu veikšanu, kas neparedzamu apstākļu dēļ ir kļuvušas nepieciešamas, lai varētu nodrošināt par projekta īstenošanu noslēgto līgumu izpildi, ja finansējuma saņēmējs veicis visus plānošanas pasākumus, lai šādus apstākļus novērstu. Pasākuma ietvaros paredzēts atbalsts gan jaunu ēku būvniecībai, gan esošu ēku atjaunošanai vai pārbūvei, pielāgojot tās veselības aprūpes pakalpojuma sniegšanai iedzīvotājiem. Ņemot vērā projektu apjomīgumu (ERAF finansējuma un nacionālā līdzfinansējuma paredzamā kopsumma 1,6 – 46,8 milj. </w:t>
      </w:r>
      <w:r w:rsidR="00000000" w:rsidRPr="00000000" w:rsidDel="00000000">
        <w:rPr>
          <w:i w:val="1"/>
          <w:rtl w:val="0"/>
        </w:rPr>
        <w:t xml:space="preserve">euro</w:t>
      </w:r>
      <w:r w:rsidR="00000000" w:rsidRPr="00000000" w:rsidDel="00000000">
        <w:rPr>
          <w:rtl w:val="0"/>
        </w:rPr>
        <w:t xml:space="preserve">),  un būvniecības procesa sarežģītību, projekta īstenošanas laikā var rasties papildu neparedzētās izmaksas – optimāli piecu procentu apmērā.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nodokļa maksājumi, kas tiešā veidā saistīti ar projektu, ir attiecināmās izmaksas, ja finansējuma saņēmējs tos nevar atgūt atbilstoši normatīvajiem aktiem par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ja tās atbilst šajos noteikumos minētajām izmaksu pozīcijām un tās ir radušās ne agrāk kā par 2021. gada 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komisijā sadarbības iestāde iekļauj arī pārstāvi no Veselības ministrijas kā vadošās valsts pārvaldes iestādes veselības nozarē un Nacionālā veselības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ka atbilstoši regulas Nr. 2021/241 ar ko izveido Atveseļošanas un noturības mehānismu 5. panta 2. punkta un Eiropas Parlamenta un Padomes 2020. gada 18. jūnija Regulas (ES) 2020/852 par regulējuma izveidi ilgtspējīgu ieguldījumu veicināšanai un ar kuru groza Regulu (ES) 2019/2088, 17. panta prasībām nodrošina, ka tiek ievēroti nacionālos normatīvos aktos noteiktie principa “Nenodarīt būtisku kaitējumu” vides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radīs ievērojamas siltumnīcefekta gāzes (turpmāk –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neradīs ievērojamas SEG emisijas, ņemot vērā, ka SAM ietvaros plānota ārstniecības iestāžu infrastruktūras attīstība, kam būs nebūtiska 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infrastruktūras attīstība atbilstoši mūsdienu prasībām, tad plānots, ka ēkas un iekārtas tiks uzlabotas (vai daļa iekārtu aizstātas ar jaunām), tad daļā gadījumu iespējama arī pozitīva ietekme uz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atbalstīt teritorijas labiekārtošanas darbus, piemēram, koku stādīšanu, apzaļumošanu, tādējādi veicinot CO2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nulles alternatīvas, t.i., nav iespējams neveikt investīcijas veselības aprūpes infrastruktūras attīstības pasākumus, jo tādējādi tiktu apdraudēta veselības aprūpes pakalpojumu pieejamība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Papildinoši pasākumi un investīcijas ar SEG emisiju samazinošu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investīcijas digitālajā veselībā, kas samazinās pārvietošanās nepieciešamību (klātienes apmeklējumus) un papīra izmantošanu, ir arī darbības programmas 2021. - 2027. gada plānošanas perioda ietvaros, paredzot investīcijas e-pakalpojumu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izraisīs pašreizējā klimata un gaidāmā nākotnes klimata negatīvās ietekmes palielināšanos uz pašu pasākumu vai uz cilvēku, dabu vai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kvalitatīvu un izmaksu efektīvu integrētu veselības aprūpes pakalpojumu pieejamībai un veselības aprūpes sistēmas gatavībai pakalpojumu nodrošināšanai epidemioloģiskajās krīzēs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pasākumi nav saistīti ar klimata pārmaiņu radīto potenciālo risku radīšanu, kā arī uzlabojot novecojošo infrastruktūru, tiks netieši mazināta klimatu pārmaiņu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ilgtspējīga ūdens un jūras resursu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kaitēs: (i) ūdensobjektu labam stāvoklim vai to labam ekoloģiskajam potenciālam, ieskaitot virszemes ūdeņus un gruntsūdeņus; vai (ii) jūras ūdeņu labam vides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būtiskas ietekmes, jo netiek īstenoti pasākumi ūdensobjektu ietekmēšanai.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pāreja uz aprites ekonomiku</w:t>
      </w:r>
      <w:r w:rsidR="00000000" w:rsidRPr="00000000" w:rsidDel="00000000">
        <w:rPr>
          <w:rtl w:val="0"/>
        </w:rPr>
        <w:t xml:space="preserve">, ieskaitot atkritumu rašanās novēršanu un to reciklēšanu: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(i) būtiski palielinās atkritumu rašanos, incinerāciju vai apglabāšanu, izņemot nepārstrādājamu bīstamo atkritumu incinerāciju; vai (ii) dabas resursu tiešā vai netiešā izmantošanā jebkurā to aprites cikla posmā radīs būtisku neefektivitāti, kas netiek samazināta līdz minimumam ar atbilstošiem pasākumiem; vai (iii) radīs būtisku un ilgtermiņa kaitējumu videi attiecībā uz aprites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būtiskas ietekmes,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iespēju robežās tiks veicināta zaļā publiskā iepirkuma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atkritumu apstrāde atbilstoši normatīvo aktu prasībām un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 ievērojami palielinās piesārņotāju emisijas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plānojot jau esošo ārstniecības iestāžu attīstību nav paredzams, ka pasākums būtiski palielinās piesārņotāju emisijas gaisā, pasākuma ietvaros tiek plānots atbalstīt teritorijas labiekārtošanas darbus, tostarp apzaļumošanu un koku stādīšanu, tādējādi nodrošinot zaļu un ilgtspējīgas vides mērķu sasniegšanu. Apstādījumi mazina gaisa temperatūru un palīdz gaisa temperatūras svārstības padarīt mērenākas. Turklāt apstādījumu teritorijās ir vērojamas daudz mazākas temperatūras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būtiski kaitēs ekosistēmu labam stāvoklim un noturībai; vai (ii) kaitēs dzīvotņu un sugu, tostarp Savienības nozīmes dzīvotņu un sugu, aizsardzības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paredzama būtiska ietekme,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projekti tikt veikti jau esošajā ārstniecības iestāžu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jauno būvniecību tiks veikts ietekmes uz vidi novērtējums saskaņā ar normatīvajos aktos noteikto un Direktīvu 2011/92/ES par dažu sabiedrisku un privātu projektu ietekmes uz vidi novērtējumu, tai skaitā nepieciešamības gadījumā tiek noteikti un ieviesti ietekmi mazinošie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projekta izmaksas pieaug, sedz projekta sadārdzinājumu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 datus par projekta ietvaros faktiski sasniegtiem iznākuma un rezultāta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sasniegto rezultātu ilgtspēju vismaz piecus gadus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paredzams, ka finansējuma saņēmējs nodrošina horizontālā principa "Vienlīdzība, iekļaušana, nediskriminācija un pamattiesību ievērošana" īstenošanu un uzkrāj datus par šādiem horizontālā principa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vides un informācijas piekļūstamības pašnovērtējuma rezultāts, atbilstoši LM izstrādātajai metodikai un pašnovērtējumā iegūtais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finansējuma saņēmējs uzkrāj datus par faktiski sasniegtiem šo noteikumu 9. un 10. 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rādītāju datu uzkrāšanu un ziņošanu Kohēzijas politikas fondu vadības informācijas sistēmā (turpmāk – KPVIS), norādām, ka šo rādītāju aktuālās vērtības netiks uzkrātas atsevišķi katrā šī pasākuma projektā, bet būs manuāli aprēķināti, apkopoti un ievadīti KPVIS. Rādītāju uzskaiti un aktuālo datu ievadi nodrošinās atbildīgā iestāde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jāveicina, ka atbalsts ne mazāk kā 30 procentu apmērā tiek ieguldīts infrastruktūras attīstībai, kurā tiek nodrošināti sekundārie ambulatorie veselības aprūpes pakalpojumi. Lai mazinātu administratīvo slogu, paredzēts, ka prasība ir jānodrošina uz projekta apstiprināšanas un līguma par projekta īstenošanu noslēgšanas brīdi. Gadījumā, ja šī prasība tiktu uzraudzīta projekta īstenošanas laikā vai līdz pēdējā maksājuma veikšanai varētu rasties situācijas, kad piemēram, mainoties iepirkuma cenām vai atsevišķām projekta darbībām, kuras neietekmē projekta sākotnēji plānotos ieguldījumus projektā izvirzīto mērķu sasniegšanai, būtu mākslīgi jāplāno jaunas darbības projektā, tāpat varētu tikt piemērota finanšu korekcija par prasības neizpildi utml. Tāpat arī Veselības ministrijas pārstāvji piedalās būtisku projektu grozījumu izvērtēšanas procesā, kur nepieciešamības gadījumā var paust viedokli par ierosinātajām izmaiņām projektā, tādējādi samazinot riskus un nodrošinot prasības izpildi attiecībā uz sekundāro ambulatoro pakalpojumu attīstību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ietvaros īstenojamo projekta kopējās attiecināmās izmaksas pārsniedz 3 000 000 </w:t>
      </w:r>
      <w:r w:rsidR="00000000" w:rsidRPr="00000000" w:rsidDel="00000000">
        <w:rPr>
          <w:i w:val="1"/>
          <w:rtl w:val="0"/>
        </w:rPr>
        <w:t xml:space="preserve">euro</w:t>
      </w:r>
      <w:r w:rsidR="00000000" w:rsidRPr="00000000" w:rsidDel="00000000">
        <w:rPr>
          <w:rtl w:val="0"/>
        </w:rPr>
        <w:t xml:space="preserve">, finansējuma saņēmējs projektu plānošanai un īstenošanas kontrolei izveido vadības un kontroles komisiju un reizi ceturksnī organizē pārskata sanāksmes par projektu progresu, uz kurām uzaicina atbildīgās iestādes un sadarbības iestādes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projektu īsteno saskaņā ar līgumu vai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izvirzītos mērķus nepieciešams ne tikai efektīvi īstenot, bet arī kvalitatīvi, atbildīgi un plaši atspoguļot un nokomunicēt ES valstu līmenī. Attiecīgi Finanšu ministrija ir izstrādājusi vadlīnijas “Eiropas Savienības fondu 2021.–2027.gada plānošanas perioda un Atveseļošanas fonda komunikācijas un dizaina vadlīnijas” (turpmāk - dizaina vadlīnijas). Lai komunikācija būtu vienojoša, ir būtiski, lai ES fondu, Atveseļošanas fonda un Kopējās lauksaimniecības politikas fondu vadībā iesaistīto iestāžu komunikācijā veidotos sasaiste ar ES izvirzītājiem lielajiem mērķiem. 2021.–2027.gada plānošanas periodā ES fondu komunikācijā īpašs uzsvars tiek likts uz Atveseļošanas un noturības mehānisma (turpmāk - ANM) identificētajiem stratēģiski svarīgajiem projektiem, kā arī ES kohēzijas politikas programmā noteiktajām stratēģiski svarīgajām darbībām un projektiem, nodrošinot pastiprinātu komunikāciju par šo projektu/darbību īstenošanas gaitu un sabiedrības ieguvumiem no tiem. Stratēģiski svarīgo projektu publicitātes pasākumos pēc iespējas jānodrošina EK vai EK pārstāvniecības Latvijā pārstāvju dalība, tā pastiprinot projektu nozīmību un svarīgumu. Attiecīgi pasākuma ietvaros kā stratēģiski svarīgs projekts noteikts šo noteikumu ​pielikumā norādītais valsts sabiedrības ar ierobežotu atbildību "Paula Stradiņa klīniskā universitātes slimnīca" projekts, kura ietvaros ne retāk kā reizi pusgadā tiek organizēti komunikācijas pasākumi par projekta aktualitātēm, ne mazāk kā piecas darbdienas pirms pasākuma informējot sadarbības iestādi un atbildīgo iestādi. Tāpat noteikts, ka stratēģiski svarīgs projekts nodrošina papildus komunikācijas pasākumu īstenošanu - komunikācijas plāna izstrādi - atbilstoši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ir tiesības vienpusēji atkāpties no noslēgtā līguma par projekta īstenošanu jebkurā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nepilda vienošanos vai līgumu par projekta īstenošanu, tai skaitā netiek ievēroti projektā noteiktie termiņi vai ir iestājušies citi apstākļi, kas negatīvi ietekmē vai var ietekmēt pasākuma iznākuma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saņēmējs apzināti ir sniedzis sadarbības iestādei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citos gadījumos, ko paredz vienošanās vai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demarkācija un papildinātība ar citiem finanšu instrumentiem, piemēram, ar ANM ietvaros īstenojamās reformas 4.1.1.r. “Uz cilvēku centrētas, visaptverošas, integrētas veselības aprūpes sistēmas ilgtspēja un noturība””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ar ES fondu 2014. - 2020. gada plānošanas perioda ERAF atbalsta piešķīruma projektiem. Lai novērstu demarkāciju un dubulto finansējumu, demarkācija veselības jomas investīcijām tiek nodrošināta trijos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Stratēģiskās plānošanas līmenī (Sabiedrības veselības pamatnostādnēs 2021. - 2027. gadam un specifiskajos veselības jomas apakšnozaru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plānošanas līmenī (veselības nozares infrastruktūras investīciju stratēģijā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Operacionālajā līmenī (projektu vērtēšanas posmā, t.sk. paredzot attiecīgus projektu iesniegumu vērtēšanas kritērijus darbības programmas projektiem, kā arī nodrošinot visu investīciju augsto tehnoloģiju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publiskajām investīcijām veselības jomā ir savstarpēji papildinoša ietekme, proti ANM ietvaros paredzēts finansējums, lai stiprinātu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 savukārt ES fondu ieguldījumi 2021. - 2027. gada plānošanas periodā paredzēti pakalpojumu pieejamības un efektivitātes uzlabošanai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īstenotās investīcijas uzlabos sabiedrības pieejamību veselības aprūpes pakalpojumiem, veselības aprūpes pakalpojumu kvalitāti un Latvijas iedzīvotāju veselību, pagarinot labā veselībā nodzīvoto mūžu, novēršot priekšlaicīgu mirstību un mazinot nevienlīdzību veselības jomā. Veicot investīcijas infrastruktūras uzlabošanā, tiek veicināta ilgtspējīga pakalpojumu sniegšana, veselības aprūpes sistēmas efektivitāte, pacientu drošība, pakalpojumu kvalitāte un pacientu medicīniskās aprūpes pēctecība un pieejamība. Pasākuma ietvaros īstenotās investīcijas ļaus attīstīt slimnīcu pakalpojumus, izveidot mūsdienīgu veselības aprūpes vidi un iedzīvotāju piekļuvi uzlabotiem ārstniecības pakalpojumiem Rīgā un reģionos, tuvāk pacientu dzīves vietai, veicinot slimnīcu visaptverošu veselības aprūpes nodrošināšanu, uz pacientu vajadzībām orientētu aprūpi, lai slimnīcu teritorijā esošā infrastruktūra atbilstu mūsdienu higiēnas, sanitārajām un drošības prasībām. Investīcijas tiek sniegtas reģionālajām slimnīcām un specializētajām slimnīcām, klīniskās universitāšu slimnīcām, VTMEC un Neatliekamās medicīniskās palīdzības dienestam, tādējādi nodrošinot visa spektra veselības aprūpes pakalpojumus Latvijas iedzīvotājiem. Tāpat pasākuma ietvaros paredzētie pasākumi vienlaicīgi veicinās arī Eiropas Savienības stratēģijā Baltijas jūras reģionam (ESSBJR) apakšmērķa “celt labklājību”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Saprātīga peļņas procents tiek noteiks kā finansiālās rentabilitātes procents pēc nodokļiem (UFG070) Komersantu finanšu analīzes rādītājs atbilstoši saimniecisko darbību statistiskajai klasifikācijai (NACE 2. red) attiecīgajā pārskata gadā (https://data1.csb.gov.lv/pxweb/lv/uzn/uzn__uznemfin__ikgad/UFG070.px/?rxid=e00b1d98-adfc-4db2-a781-076ee6ab1c44).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2021.–2027. Regulas Nr. 2021/1060 105. pants: EK atceļ saistības jebkurai Programmas summas daļai, kas nav izmantota priekšfinansējumam vai par kuru līdz 31. decembrim trešajā gadā pēc programmas budžeta saistību gada nav sagatavots maksājuma pieteikums par 2021.–2026. gadu. Saistību daļu, kas joprojām pastāv 2029. gada 31. decembrī, atceļ, ja regulas 43. panta 1. punktā noteiktajā (līdz 2031. gada 15. februārim) termiņā EK nav iesniegta apliecinājumu pakete un galīgais snieguma ziņojums par programmām. Izņēmumi ir regulas 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 g. janvārī VI ar atsevišķām iestādēm (ar finanšu apjomīgāko ES fondu “portfeli”) un Centrālā finanšu un līgumu aģentūra pārrunāja iespējamos risinājumus ES fondu 2021. – 2027. gada perioda investīciju ieviešanas tempa kāpināšanai, tika rasti atsevišķi pasākumi investīciju plūsmas uzlabošanai, vienošanās par mērķtiecīgu, pastiprinātu un koordinētu uzraudzību prognožu izpildei, riskiem, risinājumiem un starpinstitūciju fokusētu sadarbību, kad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sniegts atbalsts sekundāro ambulatoro pakalpojumu sniedzēju veselības aprūpes infrastruktūras stiprināšanai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8 456 613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39 702 715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12 439 204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8 456 613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39 702 715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12 439 204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519 364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9 948 957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46 709 077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14 634 358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519 364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9 948 957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46 709 077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14 634 358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-1 492 344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-2 195 154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-1 492 344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-2 195 154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-1 492 344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-2 195 154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4.1.1.1. pasākuma pirmās kārtas un 4.1.1.5. pasākuma ietvaros plānotais un pieejamais attiecināmais finansējums ir 108 995 936 </w:t>
            </w:r>
            <w:r w:rsidR="00000000" w:rsidRPr="00000000" w:rsidDel="00000000">
              <w:rPr>
                <w:sz w:val="24"/>
                <w:i w:val="1"/>
                <w:rtl w:val="0"/>
              </w:rPr>
              <w:t xml:space="preserve">euro</w:t>
            </w:r>
            <w:r w:rsidR="00000000" w:rsidRPr="00000000" w:rsidDel="00000000">
              <w:rPr>
                <w:sz w:val="24"/>
                <w:rtl w:val="0"/>
              </w:rPr>
              <w:t xml:space="preserve">, tai skaitā ERAF finansējums ir 92 646 546 </w:t>
            </w:r>
            <w:r w:rsidR="00000000" w:rsidRPr="00000000" w:rsidDel="00000000">
              <w:rPr>
                <w:sz w:val="24"/>
                <w:i w:val="1"/>
                <w:rtl w:val="0"/>
              </w:rPr>
              <w:t xml:space="preserve">euro</w:t>
            </w:r>
            <w:r w:rsidR="00000000" w:rsidRPr="00000000" w:rsidDel="00000000">
              <w:rPr>
                <w:sz w:val="24"/>
                <w:rtl w:val="0"/>
              </w:rPr>
              <w:t xml:space="preserve"> un nacionālais finansējums, kas iekļauj valsts budžeta un privāto finansējumu, ir 16 349 390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pirmās kārtas ietvaros plānotais un pieejamais kopējais attiecināmais finansējums ir 96 688 876 </w:t>
            </w:r>
            <w:r w:rsidR="00000000" w:rsidRPr="00000000" w:rsidDel="00000000">
              <w:rPr>
                <w:sz w:val="24"/>
                <w:i w:val="1"/>
                <w:rtl w:val="0"/>
              </w:rPr>
              <w:t xml:space="preserve">euro</w:t>
            </w:r>
            <w:r w:rsidR="00000000" w:rsidRPr="00000000" w:rsidDel="00000000">
              <w:rPr>
                <w:sz w:val="24"/>
                <w:rtl w:val="0"/>
              </w:rPr>
              <w:t xml:space="preserve">, tai skaitā ERAF finansējums ir 82 185 545 </w:t>
            </w:r>
            <w:r w:rsidR="00000000" w:rsidRPr="00000000" w:rsidDel="00000000">
              <w:rPr>
                <w:sz w:val="24"/>
                <w:i w:val="1"/>
                <w:rtl w:val="0"/>
              </w:rPr>
              <w:t xml:space="preserve">euro</w:t>
            </w:r>
            <w:r w:rsidR="00000000" w:rsidRPr="00000000" w:rsidDel="00000000">
              <w:rPr>
                <w:sz w:val="24"/>
                <w:rtl w:val="0"/>
              </w:rPr>
              <w:t xml:space="preserve"> un nacionālais finansējums, kas iekļauj valsts budžeta un privāto finansējumu, ir 14 503 331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pasākuma ietvaros plānotais un pieejamais kopējais attiecināmais finansējums ir 12 307 060 </w:t>
            </w:r>
            <w:r w:rsidR="00000000" w:rsidRPr="00000000" w:rsidDel="00000000">
              <w:rPr>
                <w:sz w:val="24"/>
                <w:i w:val="1"/>
                <w:rtl w:val="0"/>
              </w:rPr>
              <w:t xml:space="preserve">euro</w:t>
            </w:r>
            <w:r w:rsidR="00000000" w:rsidRPr="00000000" w:rsidDel="00000000">
              <w:rPr>
                <w:sz w:val="24"/>
                <w:rtl w:val="0"/>
              </w:rPr>
              <w:t xml:space="preserve">, tai skaitā ERAF finansējums ir 10 461 001 </w:t>
            </w:r>
            <w:r w:rsidR="00000000" w:rsidRPr="00000000" w:rsidDel="00000000">
              <w:rPr>
                <w:sz w:val="24"/>
                <w:i w:val="1"/>
                <w:rtl w:val="0"/>
              </w:rPr>
              <w:t xml:space="preserve">euro</w:t>
            </w:r>
            <w:r w:rsidR="00000000" w:rsidRPr="00000000" w:rsidDel="00000000">
              <w:rPr>
                <w:sz w:val="24"/>
                <w:rtl w:val="0"/>
              </w:rPr>
              <w:t xml:space="preserve"> un nacionālais valsts budžeta finansējums ir 1 846 059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par ministrijas padotības iestādēm tiks plānots ministrijas budžeta apakšprogrammā „Eiropas Reģionālās attīstības fonda (ERAF) projektu veselības jomā īstenošana (2021-2027)”, kura tiks izveidota tuvākajā laikā, un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atbilstoši 2018. gada 17. jūlija Ministru kabineta noteikumos Nr. 421 “Kārtība, kādā veic gadskārtējā valsts budžeta likumā noteiktās apropriācijas izmaiņas” noteiktajam kārtībai, savukārt par pārējiem finansējuma saņēmējiem finansējums tiks plānots Finanšu ministrijas budžetā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 Visus minētos pasākumus plānots ieviest līdz 2029. gada 31. decembrim, tai skaitā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03"/>
              <w:gridCol w:w="678"/>
              <w:gridCol w:w="693"/>
              <w:gridCol w:w="781"/>
              <w:gridCol w:w="751"/>
              <w:gridCol w:w="736"/>
              <w:gridCol w:w="707"/>
              <w:gridCol w:w="751"/>
              <w:gridCol w:w="796"/>
              <w:tblGridChange w:id="0">
                <w:tblGrid>
                  <w:gridCol w:w="1003"/>
                  <w:gridCol w:w="678"/>
                  <w:gridCol w:w="693"/>
                  <w:gridCol w:w="781"/>
                  <w:gridCol w:w="751"/>
                  <w:gridCol w:w="736"/>
                  <w:gridCol w:w="707"/>
                  <w:gridCol w:w="751"/>
                  <w:gridCol w:w="79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4.1.1.1. I.kārta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388 793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8 807 680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46 207 026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11 822 460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11 822 460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11 822 460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5 817 997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96 688 876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ERAF,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330 474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7 486 528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39 275 972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10 049 091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10 049 091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10 049 091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4 945 298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82 185 545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nacionālais fin.,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58 319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1 321 152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6 931 054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1 773 369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1 773 369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1 773 369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872 699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14 503 331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130 571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1 141 277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502 051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2 811 898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1 061 222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1 257 261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5 402 780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12 307 060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ERAF,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110 985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970 085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426 743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2 390 113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902 039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1 068 672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4 592 364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10 461 001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nacionālais fin.,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19 586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171 192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75 308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421 785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159 183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188 589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810 416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1 846 059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Visi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519 364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9 948 957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46 709 077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14 634 358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12 883 682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13 079 721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11 220 777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108 995 936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ERAF,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441 459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8 456 613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39 702 715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12 439 204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10 951 130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11 117 763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9 537 662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92 646 546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nacionālais fin.,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77 905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1 492 344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7 006 362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2 195 154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1 932 552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1 961 958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1 683 115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16 349 390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valsts budžeta līdzfinansējums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32012D0021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2020/852 (2020. gada 18. jūnijs) par regulējuma izveidi ilgtspējīgu ieguldījumu veicināšanai un ar ko groza Regulu (ES) 2019/2088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2012/21/ES: Komisijas Lēmums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un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18. un 86.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50. pants un IX.pielikums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2020/852 (2020. gada 18. jūnijs) par regulējuma izveidi ilgtspējīgu ieguldījumu veicināšanai un ar ko groza Regulu (ES) 2019/2088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Regulas 2020/852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Latvijas Lielo slimnīcu asociācija, Latvijas Pašvaldību savienība, Veselības aprūpes darba devēju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“Nevalstisko organizāciju un Ministru kabineta sadarbības memorandu” un Ministru kabineta 2009.gada 25.augusta noteikumiem Nr.970 “Sabiedrības līdzdalības kārtība attīstības plānošanas procesā”, publiskā apspriešana notika no 27.03.2023. līdz 26.04.2023. Priekšlikumu un viedokļu sniegšanai tiesību akta projekts tika nodots nevalstiskajām organizācijām, t.sk. Latvijas Pašvaldību savienībai, Latvijas Lielo pilsētu asociācijai, Latvijas Lielo slimnīcu asociācijai un Veselības aprūpes darba devēju asociācijai.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nodrošina, ka projekts izpilda nepieciešamās prasības principa “Nenodarīt būtisku kaitējumu” ievērošanai.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 Finansējuma saņēmējs nodrošinās, ka iepirkumu, kas nepieciešams atbalstāmo darbību īstenošanai, finansējuma saņēmējs iespēju robežās veiks kā sociāli atbildīgu iepirkumu,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segregāciju/izolāciju, piemēram, personu ar invaliditāti un migrantu izcelsmes personu segregāciju/izolāciju.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par horizontālā principa “Vienlīdzība, iekļaušana, nediskriminācija un pamattiesību ievērošana” ievērošanu, kura ietvaros tiek vērtēts, vai projekta iesniedzējam projektā tiek paredzētas vispārīgas un vismaz trīs specifiskās horizontālo principu darbības, un divi horizontālo principu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ārstniecības iestāžu infrastruktūras stiprināšanai, tiks uzlabota veselības aprūpes pakalpojumu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horizontālajiem principiem “Vienlīdzība, iekļaušana, nediskriminācija un pamattiesību ievērošana”,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uzkrāj datus par projekta ietekmi uz horizontālo principu “Vienlīdzība, iekļaušana, nediskriminācija un pamattiesību ievērošana”,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veiktā vides un informācijas piekļūstamības pašnovērtējuma rezultātu, atbilstoši Labklājības ministrijas izstrādātajai metodikai un pašnovērtējumā iegūto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tiks piemērots kvalitātes rādītājs horizontālajam principam “Vienlīdzība, iekļaušana, nediskriminācija un pamattiesību ievērošana”, kura izpilde vērtēšanā dod projektam papildu punktus, kas veicinās tādu projektu atlasi, kuri sniegs ieguldījumu horizontālā principa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atbalstāmo darbību īstenošanai nepieciešams veikt iepirkumu, finansējuma saņēmējs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veicinās Bauhaus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finansējuma saņēmējs var plānot arī inovatīvu iepirkumu.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23-TA-742</w:t>
    </w:r>
    <w:r>
      <w:br/>
    </w:r>
    <w:r w:rsidR="00000000" w:rsidRPr="00000000" w:rsidDel="00000000">
      <w:rPr>
        <w:rtl w:val="0"/>
      </w:rPr>
      <w:t xml:space="preserve">Izdrukāts 29.07.2026. 22.03 - 4.0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23-TA-742</w:t>
    </w:r>
    <w:r>
      <w:br/>
    </w:r>
    <w:r w:rsidR="00000000" w:rsidRPr="00000000" w:rsidDel="00000000">
      <w:rPr>
        <w:rtl w:val="0"/>
      </w:rPr>
      <w:t xml:space="preserve">Izdrukāts 29.07.2026. 22.03 - 4.0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anotācija_(ex_ante)_23-TA-742.docx</dc:title>
</cp:coreProperties>
</file>

<file path=docProps/custom.xml><?xml version="1.0" encoding="utf-8"?>
<Properties xmlns="http://schemas.openxmlformats.org/officeDocument/2006/custom-properties" xmlns:vt="http://schemas.openxmlformats.org/officeDocument/2006/docPropsVTypes"/>
</file>