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15. septembra noteikumos Nr. 1065 "Noteikumi par aizdevumiem sīko (mikro), mazo un vidējo saimnieciskās darbības veicēju un lauksaimniecības un mežsaimniecības pakalpojumu kooperatīvo sabiedrību attīstības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 (turpmāk - MK Noteikumu projekts) izstrādāts saskaņā ar Eiropas Savienības fondu 2021.—2027. gada plānošanas perioda vadības likuma 19.panta 14.punktu un Attīstības finanšu institūcijas likuma 12.panta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iestrādātu normas, lai atbilstoši šiem noteikumiem aizdevumus varētu sniegt arī Eiropas Savienības kohēzijas politikas programmas 2021.-2027.gadam 1.2.3. specifiskā atbalsta mērķa “Veicināt ilgtspējīgu izaugsmi, konkurētspēju un darba vietu radīšanu MVU, tai skaitā ar produktīvām investīcijām” 1.2.3.5. pasākumu “Aizdevumi, produktivitātes kāpināšanai (investīcijas un apgrozāmie līdzekļi)” (turpmāk - 1.2.3.5. pasākums)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15. septembra noteikumu Nr. 1065 "Noteikumi par aizdevumiem sīko (mikro), mazo un vidējo saimnieciskās darbības veicēju un lauksaimniecības un mežsaimniecības pakalpojumu kooperatīvo sabiedrību attīstības veicināšanai” (turpmāk - MK Noteikumi Nr. 1065) ietvaros to spēkā esošajā redakcijā akciju sabiedrība "Attīstības finanšu institūcija Altum” (turpmāk - Altum) īsteno apgrozāmo līdzekļu aizdevumus un investīciju aizdevumu programmu 2014.-2020.gada Eiropas Savienības fondu plānošanas perioda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tirgus nepilnība, kas pamato mikrouzņēmumiem, mazajiem un vidējiem uzņēmumiem (turpmāk - MVU) aizdevumu instrumenta nepieciešamību, ir pamatota Tirgus nepilnību sākotnējā (ex-ante) novērtējumā Eiropas Savienības fondu 2021.–2027.gada plānošanas perioda atbalstam finanšu instrumentu veidā, atbalsts aizdevumu veidā ir nepieciešams arī Eiropas Savienības fondu 2021.–2027.gada plānošanas periodā. Lai ar pēc iespējas mazāku administratīvo slogu uzsāktu 2021.-2027.gada Eiropas Savienības fondu plānošanas perioda atbalsta programmas finanšu instrumentu veidā, MK noteikumu projekts paredz MK Noteikumos Nr. 1065 iestrādāt normas, kas ļautu turpināt īstenot aizdevumu programmu secīgos Eiropas Savienības fondu plānošanas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atbalsta pieejamību Latvijā, 1.2.3.5. pasākuma ieviešanā tiks iesaistīts Altum reģionālie centri, kā arī komersantiem ir pieejami konsultāciju sniegšanas centri, kur katrs komersants tiek konsultēts individuāli. Ekonomikas ministrija atbilstoši komunikācijas plānam īstenos informatīvos reģionālos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un Altum savstarpējās tiesiskās attiecības, tajā skaitā attiecībā uz Altum pieņemtajiem lēmumiem, tiek risinātas vispārējā civiltiesiskā kārtībā, atbilstoši Altum izstrādātajai kārtībai, ievērojot piemērojamos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1.2.3.5. pasākuma ietvaros piešķirto atbalstu, ja tas sniegts ar Komisijas regulu Nr. 1407/2013, attiecas arī Komisijas regulas  Nr. 1407/2013 3. panta 2. punktā noteiktie robežlielumi.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grozījumus MK Noteikumos Nr. 1065, kas paredz ar jaunu atbalsta pasākumu 1.2.3.5. pasākuma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neparedz mainīt aizdevumu programmas ieviešanas nosacījumus - arī 2021. – 2027.gada Eiropas Savienības fondu plānošanas perioda ietvaros aizdevumus MVU piešķir Altum kā de minimis atbalstu. Tāpat grozījumi paredz piešķirt aizdevumus ar iespējami zemāku procentu likmi gadījumos, kad aizdevums nepieciešams virs pieejamā de minimis limita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pamatnostādnēs 2021-2027. gadam (turpmāk – NIP) ir minēts, ka pieeja apgrozāmajam un investīciju kapitāla finansējumam ir nozīmīgs faktors mazo un vidējo komersantu uzņēmējdarbības aktivitātes un konkurētspējas palielināšanai, uzņēmējdarbības uzsācējiem un inovatīviem, strauji augošiem uzņēmumiem. Ņemot vērā apsvērumus un identificētos šķēršļus, kas saitīti ar finansējuma trūkumu, jo īpaši apgrozāmiem līdzekļiem un salīdzinoši ilgstošu naudas apriti, ir nepieciešams veidot valsts stimulus finanšu pieejamības veicināšanai. Vienlaikus ir nepieciešams turpināt valsts atbalsta instrumentu pieejamību. Tāpat būtiski ir nodrošināt finansējuma pieejamību uzņēmējdarbības attīstībai, produktivitātes un eksportspējas celšanai, risinot tirgū pastāvošās nepilnības finanšu pieejamības jomā, stabilizējot tautsaimniecību ekonomiskās lejupslīdes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Īss 1.2.3.5. pasākuma īstenošanas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mērķis ir uzlabot Latvijā reģistrētu saimnieciskās darbības veicēju pieeju finansējumam, tādējādi veicinot Latvijas Republikas tautsaimniecības attīstību un energoefektivitātes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kopumā pieejams finansējums ir 15 662 858 euro apmērā, tai skaitā Eiropas Reģionālās attīstības fonda finansējums 13 313 429 euro apmērā un valsts budžeta finansējums 2 349 429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1.2.3.5. pasākuma nosacījumiem, sabiedrība "Altum" izveido īpašo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- 1.2.3.5. pasākuma ietvaros pēc atbilstības perioda noslēguma tiek segtas no atmaksātā publiskā finansējuma līdz divu procentu apmēram no gada vidējā kredītportfeļa apmēra, bet ne vairāk kā 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jūnijam atbalstīti 102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Plānots,</w:t>
      </w:r>
      <w:r w:rsidR="00000000" w:rsidRPr="00000000" w:rsidDel="00000000">
        <w:rPr>
          <w:rtl w:val="0"/>
        </w:rPr>
        <w:t xml:space="preserve"> ka līdz </w:t>
      </w:r>
      <w:r w:rsidR="00000000" w:rsidRPr="00000000" w:rsidDel="00000000">
        <w:rPr>
          <w:b w:val="1"/>
          <w:rtl w:val="0"/>
        </w:rPr>
        <w:t xml:space="preserve">2024.gada 31.decembrim</w:t>
      </w:r>
      <w:r w:rsidR="00000000" w:rsidRPr="00000000" w:rsidDel="00000000">
        <w:rPr>
          <w:rtl w:val="0"/>
        </w:rPr>
        <w:t xml:space="preserve"> </w:t>
      </w:r>
      <w:r w:rsidR="00000000" w:rsidRPr="00000000" w:rsidDel="00000000">
        <w:rPr>
          <w:b w:val="1"/>
          <w:rtl w:val="0"/>
        </w:rPr>
        <w:t xml:space="preserve">tiks atbalstīti: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30 saimnieciskās darbības veicēji, kuri saņem finansiālu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 </w:t>
      </w:r>
      <w:r w:rsidR="00000000" w:rsidRPr="00000000" w:rsidDel="00000000">
        <w:rPr>
          <w:b w:val="1"/>
          <w:rtl w:val="0"/>
        </w:rPr>
        <w:t xml:space="preserve">2029. gada 31. decembrim</w:t>
      </w:r>
      <w:r w:rsidR="00000000" w:rsidRPr="00000000" w:rsidDel="00000000">
        <w:rPr>
          <w:rtl w:val="0"/>
        </w:rPr>
        <w:t xml:space="preserve"> tiks atbalstīti: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150 saimnieciskās darbības veicēji, kuri saņem finansiālu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MK Noteikumu projektu ar 5.5. apakšpunktu, ka pieejamais finansējumu 1.2.3.5. pasākumam tiek noteikts saskaņā ar Ministru kabineta noteikumiem "Eiropas Savienības kohēzijas politikas programmas 2021.-2027. gadam finanšu instrumentu kopīgie īstenošanas noteikumi”. Šāda pieeja plaši izmantota 2021.-2027.gada ES fondu plānošanas perioda finanšu instrumentu, kuri tiek īstenoti līdzdalības fonda ietvaros,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iespējām palielināt vai samazināt attiecīgajam pasākumam pieejamo finansējumu norādāms, ka finansējuma pārdale iespējama tikai starp pasākumiem, kas ir viena prioritārā virziena ietvaros. Piemēram, 3.1.1.7.pasākuma finansējumu varēs brīvi pārdalīt (samazinot vai palielinot) starp 3.1.1.1., 3.1.1.2., 3.1.1.4., 3.1.2.1. un 3.1.2.2.pasākumu. Savukārt 13.1.1.1.pasākuma finansējumu varēs brīvi pārdalīt starp garantijām un aizdevumiem, kas ir paredzēti 13.1.1.1.pasākumā.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grozījumus neatbalstāmo nozaru sarakstā, papildinot punktu, kas nosaka, ka 1.2.3.5. pasākuma īstenošanā, finansējumu nepiešķir nozarēm, kas noteiktas Eiropas Parlamenta un Padomes 2021. gada 24. jūnija Regulas (ES) Nr. 2021/1058 par Eiropas Reģionālās attīstības fondu un Kohēzijas fondu 7. panta 1.punktā un 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normām, kas jāievēro, piešķirot atbalstu saskaņā ar Komisijas 2014. gada 17. jūnija Regulas (ES) Nr. 651/2014, ar ko noteiktas atbalsta kategorijas atzīst par saderīgām ar iekšējo tirgu, piemērojot Līguma 107. un 108. pantu (Eiropas Savienības Oficiālais Vēstnesis, 2014. gada 26. jūnijs, L 187) (turpmāk – Komisijas regula 651/2014) iedaļām par reģionālo ieguldījumu atbalstu (13. un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piešķirot aizdevumus kā </w:t>
      </w:r>
      <w:r w:rsidR="00000000" w:rsidRPr="00000000" w:rsidDel="00000000">
        <w:rPr>
          <w:i w:val="1"/>
          <w:rtl w:val="0"/>
        </w:rPr>
        <w:t xml:space="preserve">de minimis</w:t>
      </w:r>
      <w:r w:rsidR="00000000" w:rsidRPr="00000000" w:rsidDel="00000000">
        <w:rPr>
          <w:rtl w:val="0"/>
        </w:rPr>
        <w:t xml:space="preserve"> atbalstu, saimnieciskās darbības veicējiem, kuriem aizdevums nepieciešams iespējami lielākā apmērā, bija nepieciešams noteikt lielāku procentu likmi par aizdevuma izmantošanu, lai subsīdijas ekvivalents piešķiramajam aizdevumam neveidotos lielāks nekā pieejamais </w:t>
      </w:r>
      <w:r w:rsidR="00000000" w:rsidRPr="00000000" w:rsidDel="00000000">
        <w:rPr>
          <w:i w:val="1"/>
          <w:rtl w:val="0"/>
        </w:rPr>
        <w:t xml:space="preserve">de minimis</w:t>
      </w:r>
      <w:r w:rsidR="00000000" w:rsidRPr="00000000" w:rsidDel="00000000">
        <w:rPr>
          <w:rtl w:val="0"/>
        </w:rPr>
        <w:t xml:space="preserve"> limits. Tādējādi atbalsta piešķiršana saskaņā ar Komisijas regulas 651/2014 noteikumiem ļautu piešķirt aizdevumus ar iespējami zemāku procentu likmi gadījumos, kad aizdevuma subsīdijas ekvivalents veidotu atbalsta apmēru virs pieejamā </w:t>
      </w:r>
      <w:r w:rsidR="00000000" w:rsidRPr="00000000" w:rsidDel="00000000">
        <w:rPr>
          <w:i w:val="1"/>
          <w:rtl w:val="0"/>
        </w:rPr>
        <w:t xml:space="preserve">de minimis</w:t>
      </w:r>
      <w:r w:rsidR="00000000" w:rsidRPr="00000000" w:rsidDel="00000000">
        <w:rPr>
          <w:rtl w:val="0"/>
        </w:rPr>
        <w:t xml:space="preserve"> limita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lai ievērotu Komisijas regulas Nr. 651/2014 6. pantā ietvertās stimulējošas ietekmes prasības, saimnieciskās darbības veicējiem jāiesniedz minētā panta 2. punktā noteiktā informācija kā arī projektā darbi nevar tikt uzsākti pirms pieteikuma iesniegšanas sabiedrībā “Altum”. “Darbu sākums” saskaņā ar Komisijas regulas Nr. 651/2014 2. panta 23. punktu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noteikumu projektu, nosakot, ka 1.2.3.5. pasākumam maksimālā summa vienam saimnieciskās darbības veicējam ir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veikt citus tehniskus grozījumus, kas atdala nosacījumus par 2014.-2020.gada Eiropas Savienības fondu plānošanas perioda programmu un papildināto 1.2.3.5.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atbalsts apgrozāmajiem līdzekļiem tiks piešķirts tikai kā </w:t>
      </w:r>
      <w:r w:rsidR="00000000" w:rsidRPr="00000000" w:rsidDel="00000000">
        <w:rPr>
          <w:i w:val="1"/>
          <w:rtl w:val="0"/>
        </w:rPr>
        <w:t xml:space="preserve">de minimis</w:t>
      </w:r>
      <w:r w:rsidR="00000000" w:rsidRPr="00000000" w:rsidDel="00000000">
        <w:rPr>
          <w:rtl w:val="0"/>
        </w:rPr>
        <w:t xml:space="preserve"> atbalsts, tas ir, atbalsts netiks sniegts saskaņā ar Komisijas regulas Nr. 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ar nosacījumu, ka aizdevumu nepiešķir lielajiem saimnieciskās darbības veicējiem un mazās vidējās un vidējās kapitalizācijas sabiedrībām, kuri pretendē uz aizdevumu saskaņā ar Komisijas regulu Nr. 1407/2013, un tā finansiālā situācija ir zemāka par "B-" kredītreitingu, atbilstoši Komisijas regulas Nr. 1407/2013 4. panta 3. punkta “a” apakšpunktam. Kredītreitinga kvalitāte tiek aprēķināta saskaņā ar sabiedrības "Altum" iekšējās kārtības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lai veicinātu atbalsta pieejamību Latvijā, t.sk. Latgales reģionā, 1.2.3.5. pasākuma ieviešanā tiks iesaistīts Altum reģionālie centri (Latgales reģionā tas atrodas Rēzeknē), kā arī komersantiem ir pieejamas individuālas konsultācijas - konsultāciju sniegšanas centros (Latgales reģionā - Daugavpilī). Komersantu dzīvotspēja ir neatkarīga no reģiona. Ekonomikas ministrija atbilstoši komunikācijas plānam īstenos informatīvos reģionālos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precizēt 10.2.apakšpunktu, norādot, ka aizdevums netiek piešķirts, ja ar tiesas spriedumu ir pasludināts maksātnespējas process, kas ietver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2010.gada 1.novembrim.  Atbilstība normatīvajos aktos noteiktiem kritērijiem, uz kuriem pamatojoties kreditors var pieprasīt maksātnespējas procedūru tiks veikta ņemot vērā atbalsta pretendenta iesniegtu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sabiedrības "Altum" maksimālā aizdevuma summa saimnieciskās darbības veicējam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veicējs projekta īstenošanai papildus var piesaistīt arī cita finansētāja finansējumu vai arī sabiedrība "Altum" projekta finansēšanai piesaista sadarbības partnerus, izvērtējot to riskus un saimnieciskā darbības veicēja iesniegto projektu, sniedzot kopīgu aizdevumu ar starptautisku finanšu institūciju vai citu tirgus dalībnieku (saskaņā ar šo noteikumu 5.3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tiek izstrādātā pamatojoties uz tirgus nepilnību analīzi, kurā ir izvērtēta esošā situācija finansējuma pieejamībā un sniegtas rekomendācijas šo nepilnību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un vidējiem komersantiem, nodrošinot aizdevuma saņemšanas iespējas, kas nepieciešamas uzņēmējdarbības nodrošināšanai un attīstībai.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MVU aizdevumu programmā kopš 2021. gada nogales 3.1.1.7. pasākums „Aizdevumi sīko (mikro), mazo un vidējo saimnieciskās darbības veicēju attīstībai” un 13.1.1.1. pasākums „Aizdevumi sīko (mikro), mazo un vidējo saimnieciskās darbības veicēju attīstības veicināšanai” nodrošina finansējumu MVU projektu īstenošanai, t.sk. sniedzot aizdevumus uzņēmumu ilgtspējai. Līdz 2023. gada 30. septembrim apstiprināti pieteikumi 54,1 milj. euro apmērā, sniedzot atbalstu 222 komersantiem un ļaujot piesaistīt privātajās investīcijās vismaz 10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Noteikumu projektu paredzēts no jaunā ES Kohēzijas fonda 2021-2027.gadam sniegt atbalstu 15 662 858 euro apmērā vismaz 150 saimnieciskās darbības veicējiem, privātajās investīcijās piesaistot provizoriski 5 milj. euro, un šajos uzņēmumos kāpinot apgrozījuma pieaugumu vismaz par 20%.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finansējumu pieejamību saimnieciskās darbības veicējiem, attiecīgi MK Noteikumu projekts radīs pozitīvu ietekmi uz mazajiem, vidējiem un lielajiem komersantiem, nodrošinot iespēju plašākam komersantu lokam saņemt atbalstu, lai veicinātu uzņēmējdarbības konkurētspēju atbalstāmajās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iespēju investīciju aizdevumus piešķirt arī kā reģionālo atbalstu saskaņā ar Komisijas Regulu Nr. 651/2014. Tādējādi gadījumos, kad saimnieciskās darbības veicējs ir izsmēlis pieejamo de minimis limitu, aizdevumu var piešķirt kā reģionālo atbalstu, saglabājot iespējami zemāku aizdevuma procentu likmi.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Noteikumu projektu paredzēts no jaunā ES Kohēzijas fonda 2021-2027.gadam sniegt atbalstu 15 662 858 euro apmērā vismaz 150 saimnieciskās darbības veicējiem, privātajās investīcijās piesaistot provizoriski 5 milj. euro, un šajos uzņēmumos kāpinot apgrozījuma pieaugumu vismaz par 20%.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Noteikumu projektu paredzēts no jaunā ES Kohēzijas fonda 2021-2027.gadam sniegt atbalstu 15 662 858 euro apmērā vismaz 150 saimnieciskās darbības veicējiem, privātajās investīcijās piesaistot provizoriski 5 milj. euro, un šajos uzņēmumos kāpinot apgrozījuma pieaugumu vismaz par 20%.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mikrouzņēmumi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saimnieciskās darbības veicēji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visiem komersantiem, vidējais izmaksu palielinājums vienam saimnieciskās darbības veicējam 26,78 euro. Pienākums paredz iesniegt Altum pieteikumu atbalsta saņemšanai.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saimnieciskās darbības veicēji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visiem komersantiem, vidējais izmaksu palielinājums vienam saimnieciskās darbības veicējam 26,78 euro. Pienākums paredz iesniegt Altum pieteikumu atbalsta saņemšanai.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saimnieciskās darbības veicēji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visiem komersantiem, vidējais izmaksu palielinājums vienam saimnieciskās darbības veicējam 26,78 euro. Pienākums paredz iesniegt Altum pieteikumu atbalsta saņemšanai.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4 017,00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3 784 370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4 168 740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2 468 740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3 784 370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4 168 740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2 468 740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4 904 400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2 904 400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4 904 400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2 904 400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-667 830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-735 660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-435 660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-667 830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-735 660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-435 660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-667 830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-735 660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-435 660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-667 830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-735 660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-435 660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Programmai kopā pieejamais finansējums ir 15 662 858 euro (t.sk. elastības finansējums 2 470 429 euro), tai skaitā Eiropas Reģionālās attīstības fonda finansējums 13 313 429 euro apmērā (t.sk. elastības finansējums 2 099 865 euro) un valsts budžeta finansējums – 2 349 429 euro apmērā (t.sk. elastības finansējums 370 564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finansējuma izlietojums pa gadiem (kopā 15 662 858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 4 452 200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 – 4 904 400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 – 2 904 400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 – 3 401 858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 finansējums 1.2.3.5. pasākuma īstenošanai tiek noteikts atbilstoši normatīvajiem aktiem Eiropas Savienības kohēzijas politikas programmas 2021.-2027.gadam finanšu instrumentu īstenošanas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noteikumi "Eiropas Savienības kohēzijas politikas programmas 2021.-2027. gadam finanšu instrumentu kopīgie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tiks virzīts apstiprināšanai uz Ministru kabineta sēdi pēc tiesību akta (22-TA-2912) "Eiropas Savienības kohēzijas politikas programmas 2021. – 2027. gadam finanšu instrumentu kopīgie īstenošanas noteikumi" projekta apstiprināšanas.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24.jūnija Regula (ES) Nr. 2021/1058 par Eiropas Reģionālās attīstības fondu un Kohēzijas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18.decembra Regula (ES) Nr. 1407/2013 par Līguma par Eiropas Savienības darbību 107. un 108. panta piemērošanu de minimis atbalstam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18. decembra Regula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2014.gada 17.jūnija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2022.gada 14.decembra Regula (ES) 2022/2472, ar kuru, piemērojot Līguma par Eiropas Savienības darbību 107. un 108. pantu, dažu kategoriju atbalstu lauksaimniecības un mežsaimniecības nozarē un lauku apvidos atzīst par saderīgu ar iekšējo tirgu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2022.gada 14.decembra Regula (ES) 2022/2473, ar kuru, piemērojot Līguma par Eiropas Savienības darbību 107. un 108. pantu, dažu kategoriju atbalstu uzņēmumiem, kas nodarbojas ar zvejas un akvakultūras produktu ražošanu, apstrādi un tirdzniecību,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717/2014 ( 2014. gada 27. jūnijs )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izmantojot  Eiropas Komisijas elektroniskās paziņošanas sistēmu, 20 darbdienu laikā no atbalsta pasākuma stāšanās spēkā nosūtīs kopsavilkuma informāciju Regulas Nr. 651/2014 II pielikumā noteiktajā standartizētajā formātā par atbalsta pasākumu un informēs Finanšu ministriju par to, savukārt par kopsavilkuma informāciju Regulas 2022/2472 II pielikumā un Regulas 2022/2473 II pielikumā noteiktajā standartizētajā formātā informēs Zemkopības ministriju.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68.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5.</w:t>
            </w:r>
            <w:r w:rsidR="00000000" w:rsidRPr="00000000" w:rsidDel="00000000">
              <w:rPr>
                <w:sz w:val="24"/>
                <w:vertAlign w:val="superscript"/>
                <w:rtl w:val="0"/>
              </w:rPr>
              <w:t xml:space="preserve">5</w:t>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63.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11.</w:t>
            </w:r>
            <w:r w:rsidR="00000000" w:rsidRPr="00000000" w:rsidDel="00000000">
              <w:rPr>
                <w:sz w:val="24"/>
                <w:vertAlign w:val="superscript"/>
                <w:rtl w:val="0"/>
              </w:rPr>
              <w:t xml:space="preserve">1</w:t>
            </w:r>
            <w:r w:rsidR="00000000" w:rsidRPr="00000000" w:rsidDel="00000000">
              <w:rPr>
                <w:sz w:val="24"/>
                <w:rtl w:val="0"/>
              </w:rPr>
              <w:t xml:space="preserve">2; 11.</w:t>
            </w:r>
            <w:r w:rsidR="00000000" w:rsidRPr="00000000" w:rsidDel="00000000">
              <w:rPr>
                <w:sz w:val="24"/>
                <w:vertAlign w:val="superscript"/>
                <w:rtl w:val="0"/>
              </w:rPr>
              <w:t xml:space="preserve">2</w:t>
            </w:r>
            <w:r w:rsidR="00000000" w:rsidRPr="00000000" w:rsidDel="00000000">
              <w:rPr>
                <w:sz w:val="24"/>
                <w:rtl w:val="0"/>
              </w:rPr>
              <w:t xml:space="preserve">2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2021/1060 64.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11.</w:t>
            </w:r>
            <w:r w:rsidR="00000000" w:rsidRPr="00000000" w:rsidDel="00000000">
              <w:rPr>
                <w:sz w:val="24"/>
                <w:vertAlign w:val="superscript"/>
                <w:rtl w:val="0"/>
              </w:rPr>
              <w:t xml:space="preserve">1</w:t>
            </w:r>
            <w:r w:rsidR="00000000" w:rsidRPr="00000000" w:rsidDel="00000000">
              <w:rPr>
                <w:sz w:val="24"/>
                <w:rtl w:val="0"/>
              </w:rPr>
              <w:t xml:space="preserve">3; 11.</w:t>
            </w:r>
            <w:r w:rsidR="00000000" w:rsidRPr="00000000" w:rsidDel="00000000">
              <w:rPr>
                <w:sz w:val="24"/>
                <w:vertAlign w:val="superscript"/>
                <w:rtl w:val="0"/>
              </w:rPr>
              <w:t xml:space="preserve">2</w:t>
            </w:r>
            <w:r w:rsidR="00000000" w:rsidRPr="00000000" w:rsidDel="00000000">
              <w:rPr>
                <w:sz w:val="24"/>
                <w:rtl w:val="0"/>
              </w:rPr>
              <w:t xml:space="preserve">3 apakšpunkti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24.jūnija Regula (ES) Nr. 2021/1058 par Eiropas Reģionālās attīstības fondu un Kohēzijas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2021/1058 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11.</w:t>
            </w:r>
            <w:r w:rsidR="00000000" w:rsidRPr="00000000" w:rsidDel="00000000">
              <w:rPr>
                <w:sz w:val="24"/>
                <w:vertAlign w:val="superscript"/>
                <w:rtl w:val="0"/>
              </w:rPr>
              <w:t xml:space="preserve">1</w:t>
            </w:r>
            <w:r w:rsidR="00000000" w:rsidRPr="00000000" w:rsidDel="00000000">
              <w:rPr>
                <w:sz w:val="24"/>
                <w:rtl w:val="0"/>
              </w:rPr>
              <w:t xml:space="preserve">1; 11.</w:t>
            </w:r>
            <w:r w:rsidR="00000000" w:rsidRPr="00000000" w:rsidDel="00000000">
              <w:rPr>
                <w:sz w:val="24"/>
                <w:vertAlign w:val="superscript"/>
                <w:rtl w:val="0"/>
              </w:rPr>
              <w:t xml:space="preserve">2</w:t>
            </w:r>
            <w:r w:rsidR="00000000" w:rsidRPr="00000000" w:rsidDel="00000000">
              <w:rPr>
                <w:sz w:val="24"/>
                <w:rtl w:val="0"/>
              </w:rPr>
              <w:t xml:space="preserve">1 apakšpunkti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2013.gada 18.decembra Regula (ES) Nr. 1407/2013 par Līguma par Eiropas Savienības darbību 107. un 108. panta piemērošanu de minimis atbalstam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 21.</w:t>
            </w:r>
            <w:r w:rsidR="00000000" w:rsidRPr="00000000" w:rsidDel="00000000">
              <w:rPr>
                <w:sz w:val="24"/>
                <w:vertAlign w:val="superscript"/>
                <w:rtl w:val="0"/>
              </w:rPr>
              <w:t xml:space="preserve">2</w:t>
            </w:r>
            <w:r w:rsidR="00000000" w:rsidRPr="00000000" w:rsidDel="00000000">
              <w:rPr>
                <w:sz w:val="24"/>
                <w:rtl w:val="0"/>
              </w:rPr>
              <w:t xml:space="preserve"> , 30.</w:t>
            </w:r>
            <w:r w:rsidR="00000000" w:rsidRPr="00000000" w:rsidDel="00000000">
              <w:rPr>
                <w:sz w:val="24"/>
                <w:vertAlign w:val="superscript"/>
                <w:rtl w:val="0"/>
              </w:rPr>
              <w:t xml:space="preserve">2</w:t>
            </w:r>
            <w:r w:rsidR="00000000" w:rsidRPr="00000000" w:rsidDel="00000000">
              <w:rPr>
                <w:sz w:val="24"/>
                <w:rtl w:val="0"/>
              </w:rPr>
              <w:t xml:space="preserve"> , 30.</w:t>
            </w:r>
            <w:r w:rsidR="00000000" w:rsidRPr="00000000" w:rsidDel="00000000">
              <w:rPr>
                <w:sz w:val="24"/>
                <w:vertAlign w:val="superscript"/>
                <w:rtl w:val="0"/>
              </w:rPr>
              <w:t xml:space="preserve">12 </w:t>
            </w:r>
            <w:r w:rsidR="00000000" w:rsidRPr="00000000" w:rsidDel="00000000">
              <w:rPr>
                <w:sz w:val="24"/>
                <w:rtl w:val="0"/>
              </w:rPr>
              <w:t xml:space="preserve">,30.</w:t>
            </w:r>
            <w:r w:rsidR="00000000" w:rsidRPr="00000000" w:rsidDel="00000000">
              <w:rPr>
                <w:sz w:val="24"/>
                <w:vertAlign w:val="superscript"/>
                <w:rtl w:val="0"/>
              </w:rPr>
              <w:t xml:space="preserve">14</w:t>
            </w:r>
            <w:r w:rsidR="00000000" w:rsidRPr="00000000" w:rsidDel="00000000">
              <w:rPr>
                <w:sz w:val="24"/>
                <w:rtl w:val="0"/>
              </w:rPr>
              <w:t xml:space="preserve">,30.</w:t>
            </w:r>
            <w:r w:rsidR="00000000" w:rsidRPr="00000000" w:rsidDel="00000000">
              <w:rPr>
                <w:sz w:val="24"/>
                <w:vertAlign w:val="superscript"/>
                <w:rtl w:val="0"/>
              </w:rPr>
              <w:t xml:space="preserve">16</w:t>
            </w:r>
            <w:r w:rsidR="00000000" w:rsidRPr="00000000" w:rsidDel="00000000">
              <w:rPr>
                <w:sz w:val="24"/>
                <w:rtl w:val="0"/>
              </w:rPr>
              <w:t xml:space="preserve">, 37.</w:t>
            </w:r>
            <w:r w:rsidR="00000000" w:rsidRPr="00000000" w:rsidDel="00000000">
              <w:rPr>
                <w:sz w:val="24"/>
                <w:vertAlign w:val="superscript"/>
                <w:rtl w:val="0"/>
              </w:rPr>
              <w:t xml:space="preserve">2</w:t>
            </w:r>
            <w:r w:rsidR="00000000" w:rsidRPr="00000000" w:rsidDel="00000000">
              <w:rPr>
                <w:sz w:val="24"/>
                <w:rtl w:val="0"/>
              </w:rPr>
              <w:t xml:space="preserve">, 37.</w:t>
            </w:r>
            <w:r w:rsidR="00000000" w:rsidRPr="00000000" w:rsidDel="00000000">
              <w:rPr>
                <w:sz w:val="24"/>
                <w:vertAlign w:val="superscript"/>
                <w:rtl w:val="0"/>
              </w:rPr>
              <w:t xml:space="preserve">5</w:t>
            </w:r>
            <w:r w:rsidR="00000000" w:rsidRPr="00000000" w:rsidDel="00000000">
              <w:rPr>
                <w:sz w:val="24"/>
                <w:rtl w:val="0"/>
              </w:rPr>
              <w:t xml:space="preserve">, 38., 50. punkti un 10.5., 14.1. 37.</w:t>
            </w:r>
            <w:r w:rsidR="00000000" w:rsidRPr="00000000" w:rsidDel="00000000">
              <w:rPr>
                <w:sz w:val="24"/>
                <w:vertAlign w:val="superscript"/>
                <w:rtl w:val="0"/>
              </w:rPr>
              <w:t xml:space="preserve">2</w:t>
            </w:r>
            <w:r w:rsidR="00000000" w:rsidRPr="00000000" w:rsidDel="00000000">
              <w:rPr>
                <w:sz w:val="24"/>
                <w:rtl w:val="0"/>
              </w:rPr>
              <w:t xml:space="preserve">1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7.panta 4.punkts un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4.panta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10.5.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2 </w:t>
            </w:r>
            <w:r w:rsidR="00000000" w:rsidRPr="00000000" w:rsidDel="00000000">
              <w:rPr>
                <w:sz w:val="24"/>
                <w:rtl w:val="0"/>
              </w:rPr>
              <w:t xml:space="preserve">, 30.</w:t>
            </w:r>
            <w:r w:rsidR="00000000" w:rsidRPr="00000000" w:rsidDel="00000000">
              <w:rPr>
                <w:sz w:val="24"/>
                <w:vertAlign w:val="superscript"/>
                <w:rtl w:val="0"/>
              </w:rPr>
              <w:t xml:space="preserve">2</w:t>
            </w:r>
            <w:r w:rsidR="00000000" w:rsidRPr="00000000" w:rsidDel="00000000">
              <w:rPr>
                <w:sz w:val="24"/>
                <w:rtl w:val="0"/>
              </w:rPr>
              <w:t xml:space="preserve">, 30.</w:t>
            </w:r>
            <w:r w:rsidR="00000000" w:rsidRPr="00000000" w:rsidDel="00000000">
              <w:rPr>
                <w:sz w:val="24"/>
                <w:vertAlign w:val="superscript"/>
                <w:rtl w:val="0"/>
              </w:rPr>
              <w:t xml:space="preserve">14 </w:t>
            </w:r>
            <w:r w:rsidR="00000000" w:rsidRPr="00000000" w:rsidDel="00000000">
              <w:rPr>
                <w:sz w:val="24"/>
                <w:rtl w:val="0"/>
              </w:rPr>
              <w:t xml:space="preserve">, 30.</w:t>
            </w:r>
            <w:r w:rsidR="00000000" w:rsidRPr="00000000" w:rsidDel="00000000">
              <w:rPr>
                <w:sz w:val="24"/>
                <w:vertAlign w:val="superscript"/>
                <w:rtl w:val="0"/>
              </w:rPr>
              <w:t xml:space="preserve">16</w:t>
            </w:r>
            <w:r w:rsidR="00000000" w:rsidRPr="00000000" w:rsidDel="00000000">
              <w:rPr>
                <w:sz w:val="24"/>
                <w:rtl w:val="0"/>
              </w:rPr>
              <w:t xml:space="preserve"> punkti un 14.2.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19.1., 29.1., 30.</w:t>
            </w:r>
            <w:r w:rsidR="00000000" w:rsidRPr="00000000" w:rsidDel="00000000">
              <w:rPr>
                <w:sz w:val="24"/>
                <w:vertAlign w:val="superscript"/>
                <w:rtl w:val="0"/>
              </w:rPr>
              <w:t xml:space="preserve">9</w:t>
            </w:r>
            <w:r w:rsidR="00000000" w:rsidRPr="00000000" w:rsidDel="00000000">
              <w:rPr>
                <w:sz w:val="24"/>
                <w:rtl w:val="0"/>
              </w:rPr>
              <w:t xml:space="preserve">1, 34.1.,apakšpunkti un  30.</w:t>
            </w:r>
            <w:r w:rsidR="00000000" w:rsidRPr="00000000" w:rsidDel="00000000">
              <w:rPr>
                <w:sz w:val="24"/>
                <w:vertAlign w:val="superscript"/>
                <w:rtl w:val="0"/>
              </w:rPr>
              <w:t xml:space="preserve">22</w:t>
            </w:r>
            <w:r w:rsidR="00000000" w:rsidRPr="00000000" w:rsidDel="00000000">
              <w:rPr>
                <w:sz w:val="24"/>
                <w:rtl w:val="0"/>
              </w:rPr>
              <w:t xml:space="preserve">, 42. 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4.pants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31.</w:t>
            </w:r>
            <w:r w:rsidR="00000000" w:rsidRPr="00000000" w:rsidDel="00000000">
              <w:rPr>
                <w:sz w:val="24"/>
                <w:vertAlign w:val="superscript"/>
                <w:rtl w:val="0"/>
              </w:rPr>
              <w:t xml:space="preserve">1</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1.panta 1.punkts "a", "aa", "b" vai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37.</w:t>
            </w:r>
            <w:r w:rsidR="00000000" w:rsidRPr="00000000" w:rsidDel="00000000">
              <w:rPr>
                <w:sz w:val="24"/>
                <w:vertAlign w:val="superscript"/>
                <w:rtl w:val="0"/>
              </w:rPr>
              <w:t xml:space="preserve">1</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37.</w:t>
            </w:r>
            <w:r w:rsidR="00000000" w:rsidRPr="00000000" w:rsidDel="00000000">
              <w:rPr>
                <w:sz w:val="24"/>
                <w:vertAlign w:val="superscript"/>
                <w:rtl w:val="0"/>
              </w:rPr>
              <w:t xml:space="preserve">1</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2.panta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w:t>
            </w:r>
            <w:r w:rsidR="00000000" w:rsidRPr="00000000" w:rsidDel="00000000">
              <w:rPr>
                <w:sz w:val="24"/>
                <w:vertAlign w:val="superscript"/>
                <w:rtl w:val="0"/>
              </w:rPr>
              <w:t xml:space="preserve">1</w:t>
            </w:r>
            <w:r w:rsidR="00000000" w:rsidRPr="00000000" w:rsidDel="00000000">
              <w:rPr>
                <w:sz w:val="24"/>
                <w:rtl w:val="0"/>
              </w:rPr>
              <w:t xml:space="preserve"> ,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2013.gada 18. decembra Regula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15.1. apakšpunkts un 37.</w:t>
            </w:r>
            <w:r w:rsidR="00000000" w:rsidRPr="00000000" w:rsidDel="00000000">
              <w:rPr>
                <w:sz w:val="24"/>
                <w:vertAlign w:val="superscript"/>
                <w:rtl w:val="0"/>
              </w:rPr>
              <w:t xml:space="preserve">2</w:t>
            </w:r>
            <w:r w:rsidR="00000000" w:rsidRPr="00000000" w:rsidDel="00000000">
              <w:rPr>
                <w:sz w:val="24"/>
                <w:rtl w:val="0"/>
              </w:rPr>
              <w:t xml:space="preserve">,  30.</w:t>
            </w:r>
            <w:r w:rsidR="00000000" w:rsidRPr="00000000" w:rsidDel="00000000">
              <w:rPr>
                <w:sz w:val="24"/>
                <w:vertAlign w:val="superscript"/>
                <w:rtl w:val="0"/>
              </w:rPr>
              <w:t xml:space="preserve">10</w:t>
            </w:r>
            <w:r w:rsidR="00000000" w:rsidRPr="00000000" w:rsidDel="00000000">
              <w:rPr>
                <w:sz w:val="24"/>
                <w:rtl w:val="0"/>
              </w:rPr>
              <w:t xml:space="preserve"> , 37.</w:t>
            </w:r>
            <w:r w:rsidR="00000000" w:rsidRPr="00000000" w:rsidDel="00000000">
              <w:rPr>
                <w:sz w:val="24"/>
                <w:vertAlign w:val="superscript"/>
                <w:rtl w:val="0"/>
              </w:rPr>
              <w:t xml:space="preserve">5 </w:t>
            </w:r>
            <w:r w:rsidR="00000000" w:rsidRPr="00000000" w:rsidDel="00000000">
              <w:rPr>
                <w:sz w:val="24"/>
                <w:rtl w:val="0"/>
              </w:rPr>
              <w:t xml:space="preserve">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7.panta 4.punkts un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15.2. apakšpunkts, 30.</w:t>
            </w:r>
            <w:r w:rsidR="00000000" w:rsidRPr="00000000" w:rsidDel="00000000">
              <w:rPr>
                <w:sz w:val="24"/>
                <w:vertAlign w:val="superscript"/>
                <w:rtl w:val="0"/>
              </w:rPr>
              <w:t xml:space="preserve">10</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3.panta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19.2., 34.1.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3. panta 3. "a" apakšpunktā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2014.gada 17.jūnija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34.2., 31.</w:t>
            </w:r>
            <w:r w:rsidR="00000000" w:rsidRPr="00000000" w:rsidDel="00000000">
              <w:rPr>
                <w:sz w:val="24"/>
                <w:vertAlign w:val="superscript"/>
                <w:rtl w:val="0"/>
              </w:rPr>
              <w:t xml:space="preserve">1</w:t>
            </w:r>
            <w:r w:rsidR="00000000" w:rsidRPr="00000000" w:rsidDel="00000000">
              <w:rPr>
                <w:sz w:val="24"/>
                <w:rtl w:val="0"/>
              </w:rPr>
              <w:t xml:space="preserve">1, apakšpunkts un  12.</w:t>
            </w:r>
            <w:r w:rsidR="00000000" w:rsidRPr="00000000" w:rsidDel="00000000">
              <w:rPr>
                <w:sz w:val="24"/>
                <w:vertAlign w:val="superscript"/>
                <w:rtl w:val="0"/>
              </w:rPr>
              <w:t xml:space="preserve">3</w:t>
            </w:r>
            <w:r w:rsidR="00000000" w:rsidRPr="00000000" w:rsidDel="00000000">
              <w:rPr>
                <w:sz w:val="24"/>
                <w:rtl w:val="0"/>
              </w:rPr>
              <w:t xml:space="preserve">, 12.</w:t>
            </w:r>
            <w:r w:rsidR="00000000" w:rsidRPr="00000000" w:rsidDel="00000000">
              <w:rPr>
                <w:sz w:val="24"/>
                <w:vertAlign w:val="superscript"/>
                <w:rtl w:val="0"/>
              </w:rPr>
              <w:t xml:space="preserve">5</w:t>
            </w:r>
            <w:r w:rsidR="00000000" w:rsidRPr="00000000" w:rsidDel="00000000">
              <w:rPr>
                <w:sz w:val="24"/>
                <w:rtl w:val="0"/>
              </w:rPr>
              <w:t xml:space="preserve">, 12.</w:t>
            </w:r>
            <w:r w:rsidR="00000000" w:rsidRPr="00000000" w:rsidDel="00000000">
              <w:rPr>
                <w:sz w:val="24"/>
                <w:vertAlign w:val="superscript"/>
                <w:rtl w:val="0"/>
              </w:rPr>
              <w:t xml:space="preserve">7</w:t>
            </w:r>
            <w:r w:rsidR="00000000" w:rsidRPr="00000000" w:rsidDel="00000000">
              <w:rPr>
                <w:sz w:val="24"/>
                <w:rtl w:val="0"/>
              </w:rPr>
              <w:t xml:space="preserve">, 12.</w:t>
            </w:r>
            <w:r w:rsidR="00000000" w:rsidRPr="00000000" w:rsidDel="00000000">
              <w:rPr>
                <w:sz w:val="24"/>
                <w:vertAlign w:val="superscript"/>
                <w:rtl w:val="0"/>
              </w:rPr>
              <w:t xml:space="preserve">8</w:t>
            </w:r>
            <w:r w:rsidR="00000000" w:rsidRPr="00000000" w:rsidDel="00000000">
              <w:rPr>
                <w:sz w:val="24"/>
                <w:rtl w:val="0"/>
              </w:rPr>
              <w:t xml:space="preserve">, 12.</w:t>
            </w:r>
            <w:r w:rsidR="00000000" w:rsidRPr="00000000" w:rsidDel="00000000">
              <w:rPr>
                <w:sz w:val="24"/>
                <w:vertAlign w:val="superscript"/>
                <w:rtl w:val="0"/>
              </w:rPr>
              <w:t xml:space="preserve">9</w:t>
            </w:r>
            <w:r w:rsidR="00000000" w:rsidRPr="00000000" w:rsidDel="00000000">
              <w:rPr>
                <w:sz w:val="24"/>
                <w:rtl w:val="0"/>
              </w:rPr>
              <w:t xml:space="preserve">, 21.</w:t>
            </w:r>
            <w:r w:rsidR="00000000" w:rsidRPr="00000000" w:rsidDel="00000000">
              <w:rPr>
                <w:sz w:val="24"/>
                <w:vertAlign w:val="superscript"/>
                <w:rtl w:val="0"/>
              </w:rPr>
              <w:t xml:space="preserve">3</w:t>
            </w:r>
            <w:r w:rsidR="00000000" w:rsidRPr="00000000" w:rsidDel="00000000">
              <w:rPr>
                <w:sz w:val="24"/>
                <w:rtl w:val="0"/>
              </w:rPr>
              <w:t xml:space="preserve">, 21.</w:t>
            </w:r>
            <w:r w:rsidR="00000000" w:rsidRPr="00000000" w:rsidDel="00000000">
              <w:rPr>
                <w:sz w:val="24"/>
                <w:vertAlign w:val="superscript"/>
                <w:rtl w:val="0"/>
              </w:rPr>
              <w:t xml:space="preserve">4 </w:t>
            </w:r>
            <w:r w:rsidR="00000000" w:rsidRPr="00000000" w:rsidDel="00000000">
              <w:rPr>
                <w:sz w:val="24"/>
                <w:rtl w:val="0"/>
              </w:rPr>
              <w:t xml:space="preserve">, 21.</w:t>
            </w:r>
            <w:r w:rsidR="00000000" w:rsidRPr="00000000" w:rsidDel="00000000">
              <w:rPr>
                <w:sz w:val="24"/>
                <w:vertAlign w:val="superscript"/>
                <w:rtl w:val="0"/>
              </w:rPr>
              <w:t xml:space="preserve">5</w:t>
            </w:r>
            <w:r w:rsidR="00000000" w:rsidRPr="00000000" w:rsidDel="00000000">
              <w:rPr>
                <w:sz w:val="24"/>
                <w:rtl w:val="0"/>
              </w:rPr>
              <w:t xml:space="preserve"> , 21.</w:t>
            </w:r>
            <w:r w:rsidR="00000000" w:rsidRPr="00000000" w:rsidDel="00000000">
              <w:rPr>
                <w:sz w:val="24"/>
                <w:vertAlign w:val="superscript"/>
                <w:rtl w:val="0"/>
              </w:rPr>
              <w:t xml:space="preserve">6</w:t>
            </w:r>
            <w:r w:rsidR="00000000" w:rsidRPr="00000000" w:rsidDel="00000000">
              <w:rPr>
                <w:sz w:val="24"/>
                <w:rtl w:val="0"/>
              </w:rPr>
              <w:t xml:space="preserve">, 21.</w:t>
            </w:r>
            <w:r w:rsidR="00000000" w:rsidRPr="00000000" w:rsidDel="00000000">
              <w:rPr>
                <w:sz w:val="24"/>
                <w:vertAlign w:val="superscript"/>
                <w:rtl w:val="0"/>
              </w:rPr>
              <w:t xml:space="preserve">7</w:t>
            </w:r>
            <w:r w:rsidR="00000000" w:rsidRPr="00000000" w:rsidDel="00000000">
              <w:rPr>
                <w:sz w:val="24"/>
                <w:rtl w:val="0"/>
              </w:rPr>
              <w:t xml:space="preserve"> , 21.</w:t>
            </w:r>
            <w:r w:rsidR="00000000" w:rsidRPr="00000000" w:rsidDel="00000000">
              <w:rPr>
                <w:sz w:val="24"/>
                <w:vertAlign w:val="superscript"/>
                <w:rtl w:val="0"/>
              </w:rPr>
              <w:t xml:space="preserve">9</w:t>
            </w:r>
            <w:r w:rsidR="00000000" w:rsidRPr="00000000" w:rsidDel="00000000">
              <w:rPr>
                <w:sz w:val="24"/>
                <w:rtl w:val="0"/>
              </w:rPr>
              <w:t xml:space="preserve">, 21.</w:t>
            </w:r>
            <w:r w:rsidR="00000000" w:rsidRPr="00000000" w:rsidDel="00000000">
              <w:rPr>
                <w:sz w:val="24"/>
                <w:vertAlign w:val="superscript"/>
                <w:rtl w:val="0"/>
              </w:rPr>
              <w:t xml:space="preserve">10</w:t>
            </w:r>
            <w:r w:rsidR="00000000" w:rsidRPr="00000000" w:rsidDel="00000000">
              <w:rPr>
                <w:sz w:val="24"/>
                <w:rtl w:val="0"/>
              </w:rPr>
              <w:t xml:space="preserve"> , 37.</w:t>
            </w:r>
            <w:r w:rsidR="00000000" w:rsidRPr="00000000" w:rsidDel="00000000">
              <w:rPr>
                <w:sz w:val="24"/>
                <w:vertAlign w:val="superscript"/>
                <w:rtl w:val="0"/>
              </w:rPr>
              <w:t xml:space="preserve">2</w:t>
            </w:r>
            <w:r w:rsidR="00000000" w:rsidRPr="00000000" w:rsidDel="00000000">
              <w:rPr>
                <w:sz w:val="24"/>
                <w:rtl w:val="0"/>
              </w:rPr>
              <w:t xml:space="preserve">, 37.</w:t>
            </w:r>
            <w:r w:rsidR="00000000" w:rsidRPr="00000000" w:rsidDel="00000000">
              <w:rPr>
                <w:sz w:val="24"/>
                <w:vertAlign w:val="superscript"/>
                <w:rtl w:val="0"/>
              </w:rPr>
              <w:t xml:space="preserve">6</w:t>
            </w:r>
            <w:r w:rsidR="00000000" w:rsidRPr="00000000" w:rsidDel="00000000">
              <w:rPr>
                <w:sz w:val="24"/>
                <w:rtl w:val="0"/>
              </w:rPr>
              <w:t xml:space="preserve">, 37.</w:t>
            </w:r>
            <w:r w:rsidR="00000000" w:rsidRPr="00000000" w:rsidDel="00000000">
              <w:rPr>
                <w:sz w:val="24"/>
                <w:vertAlign w:val="superscript"/>
                <w:rtl w:val="0"/>
              </w:rPr>
              <w:t xml:space="preserve">7</w:t>
            </w:r>
            <w:r w:rsidR="00000000" w:rsidRPr="00000000" w:rsidDel="00000000">
              <w:rPr>
                <w:sz w:val="24"/>
                <w:rtl w:val="0"/>
              </w:rPr>
              <w:t xml:space="preserve">,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58.panta 5.punkts un 59.pants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w:t>
            </w:r>
            <w:r w:rsidR="00000000" w:rsidRPr="00000000" w:rsidDel="00000000">
              <w:rPr>
                <w:sz w:val="24"/>
                <w:b w:val="1"/>
                <w:rtl w:val="0"/>
              </w:rPr>
              <w:t xml:space="preserve"> </w:t>
            </w:r>
            <w:r w:rsidR="00000000" w:rsidRPr="00000000" w:rsidDel="00000000">
              <w:rPr>
                <w:sz w:val="24"/>
                <w:rtl w:val="0"/>
              </w:rPr>
              <w:t xml:space="preserve">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3</w:t>
            </w:r>
            <w:r w:rsidR="00000000" w:rsidRPr="00000000" w:rsidDel="00000000">
              <w:rPr>
                <w:sz w:val="24"/>
                <w:b w:val="1"/>
                <w:vertAlign w:val="superscript"/>
                <w:rtl w:val="0"/>
              </w:rPr>
              <w:t xml:space="preserve"> </w:t>
            </w:r>
            <w:r w:rsidR="00000000" w:rsidRPr="00000000" w:rsidDel="00000000">
              <w:rPr>
                <w:sz w:val="24"/>
                <w:rtl w:val="0"/>
              </w:rPr>
              <w:t xml:space="preserve">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5</w:t>
            </w:r>
            <w:r w:rsidR="00000000" w:rsidRPr="00000000" w:rsidDel="00000000">
              <w:rPr>
                <w:sz w:val="24"/>
                <w:rtl w:val="0"/>
              </w:rPr>
              <w:t xml:space="preserve">, 12.</w:t>
            </w:r>
            <w:r w:rsidR="00000000" w:rsidRPr="00000000" w:rsidDel="00000000">
              <w:rPr>
                <w:sz w:val="24"/>
                <w:vertAlign w:val="superscript"/>
                <w:rtl w:val="0"/>
              </w:rPr>
              <w:t xml:space="preserve">5</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pants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6</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7</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1.panta 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7</w:t>
            </w:r>
            <w:r w:rsidR="00000000" w:rsidRPr="00000000" w:rsidDel="00000000">
              <w:rPr>
                <w:sz w:val="24"/>
                <w:rtl w:val="0"/>
              </w:rPr>
              <w:t xml:space="preserve">1 apakšpunkts un 37.</w:t>
            </w:r>
            <w:r w:rsidR="00000000" w:rsidRPr="00000000" w:rsidDel="00000000">
              <w:rPr>
                <w:sz w:val="24"/>
                <w:vertAlign w:val="superscript"/>
                <w:rtl w:val="0"/>
              </w:rPr>
              <w:t xml:space="preserve">7</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 9., 10.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7</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8</w:t>
            </w:r>
            <w:r w:rsidR="00000000" w:rsidRPr="00000000" w:rsidDel="00000000">
              <w:rPr>
                <w:sz w:val="24"/>
                <w:rtl w:val="0"/>
              </w:rPr>
              <w:t xml:space="preserve">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8</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1.panta 4.punkta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8</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18.punkta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8</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9</w:t>
            </w:r>
            <w:r w:rsidR="00000000" w:rsidRPr="00000000" w:rsidDel="00000000">
              <w:rPr>
                <w:sz w:val="24"/>
                <w:b w:val="1"/>
                <w:vertAlign w:val="superscript"/>
                <w:rtl w:val="0"/>
              </w:rPr>
              <w:t xml:space="preserve">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13. un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3</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13., 43. un 43a.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3</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"b"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3</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45. un 130.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3</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4</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4</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61.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4</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5</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5</w:t>
            </w:r>
            <w:r w:rsidR="00000000" w:rsidRPr="00000000" w:rsidDel="00000000">
              <w:rPr>
                <w:sz w:val="24"/>
                <w:rtl w:val="0"/>
              </w:rPr>
              <w:t xml:space="preserve">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5</w:t>
            </w:r>
            <w:r w:rsidR="00000000" w:rsidRPr="00000000" w:rsidDel="00000000">
              <w:rPr>
                <w:sz w:val="24"/>
                <w:rtl w:val="0"/>
              </w:rPr>
              <w:t xml:space="preserve">3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5</w:t>
            </w:r>
            <w:r w:rsidR="00000000" w:rsidRPr="00000000" w:rsidDel="00000000">
              <w:rPr>
                <w:sz w:val="24"/>
                <w:rtl w:val="0"/>
              </w:rPr>
              <w:t xml:space="preserve">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5</w:t>
            </w:r>
            <w:r w:rsidR="00000000" w:rsidRPr="00000000" w:rsidDel="00000000">
              <w:rPr>
                <w:sz w:val="24"/>
                <w:rtl w:val="0"/>
              </w:rPr>
              <w:t xml:space="preserve">5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50.punkts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7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7</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8</w:t>
            </w:r>
            <w:r w:rsidR="00000000" w:rsidRPr="00000000" w:rsidDel="00000000">
              <w:rPr>
                <w:sz w:val="24"/>
                <w:rtl w:val="0"/>
              </w:rPr>
              <w:t xml:space="preserve"> , 44.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14.panta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21.</w:t>
            </w:r>
            <w:r w:rsidR="00000000" w:rsidRPr="00000000" w:rsidDel="00000000">
              <w:rPr>
                <w:sz w:val="24"/>
                <w:vertAlign w:val="superscript"/>
                <w:rtl w:val="0"/>
              </w:rPr>
              <w:t xml:space="preserve">10</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31.</w:t>
            </w:r>
            <w:r w:rsidR="00000000" w:rsidRPr="00000000" w:rsidDel="00000000">
              <w:rPr>
                <w:sz w:val="24"/>
                <w:vertAlign w:val="superscript"/>
                <w:rtl w:val="0"/>
              </w:rPr>
              <w:t xml:space="preserve">1</w:t>
            </w:r>
            <w:r w:rsidR="00000000" w:rsidRPr="00000000" w:rsidDel="00000000">
              <w:rPr>
                <w:sz w:val="24"/>
                <w:rtl w:val="0"/>
              </w:rPr>
              <w:t xml:space="preserve">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37.</w:t>
            </w:r>
            <w:r w:rsidR="00000000" w:rsidRPr="00000000" w:rsidDel="00000000">
              <w:rPr>
                <w:sz w:val="24"/>
                <w:vertAlign w:val="superscript"/>
                <w:rtl w:val="0"/>
              </w:rPr>
              <w:t xml:space="preserve">7</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2022.gada 14.decembra Regula (ES) 2022/2472, ar kuru, piemērojot Līguma par Eiropas Savienības darbību 107. un 108. pantu, dažu kategoriju atbalstu lauksaimniecības un mežsaimniecības nozarē un lauku apvidos atzīst par saderīgu ar iekšējo tirgu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2</w:t>
            </w:r>
            <w:r w:rsidR="00000000" w:rsidRPr="00000000" w:rsidDel="00000000">
              <w:rPr>
                <w:sz w:val="24"/>
                <w:rtl w:val="0"/>
              </w:rPr>
              <w:t xml:space="preserve"> punkts un 34.2, 37.</w:t>
            </w:r>
            <w:r w:rsidR="00000000" w:rsidRPr="00000000" w:rsidDel="00000000">
              <w:rPr>
                <w:sz w:val="24"/>
                <w:vertAlign w:val="superscript"/>
                <w:rtl w:val="0"/>
              </w:rPr>
              <w:t xml:space="preserve">2</w:t>
            </w:r>
            <w:r w:rsidR="00000000" w:rsidRPr="00000000" w:rsidDel="00000000">
              <w:rPr>
                <w:sz w:val="24"/>
                <w:rtl w:val="0"/>
              </w:rPr>
              <w:t xml:space="preserve">, 37.</w:t>
            </w:r>
            <w:r w:rsidR="00000000" w:rsidRPr="00000000" w:rsidDel="00000000">
              <w:rPr>
                <w:sz w:val="24"/>
                <w:vertAlign w:val="superscript"/>
                <w:rtl w:val="0"/>
              </w:rPr>
              <w:t xml:space="preserve">4</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63.pants 4.punkts un 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6.4.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2.panta 59.punkts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9.panta 1.punkta c) apakšpunkts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1.pants 3.,4.,5.,6.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23.</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14.panta 11., 12., 13. un 14. 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2022/2472 14.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30.</w:t>
            </w:r>
            <w:r w:rsidR="00000000" w:rsidRPr="00000000" w:rsidDel="00000000">
              <w:rPr>
                <w:sz w:val="24"/>
                <w:vertAlign w:val="superscript"/>
                <w:rtl w:val="0"/>
              </w:rPr>
              <w:t xml:space="preserve">9</w:t>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2022.gada 14.decembra Regula (ES) 2022/2473, ar kuru, piemērojot Līguma par Eiropas Savienības darbību 107. un 108. pantu, dažu kategoriju atbalstu uzņēmumiem, kas nodarbojas ar zvejas un akvakultūras produktu ražošanu, apstrādi un tirdzniecību,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58.pants 4.punkts un 59.pants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2.panta 29.apakšpunkts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10.4.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9.panta 1.punkta c) apakšpunkts un 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12.</w:t>
            </w:r>
            <w:r w:rsidR="00000000" w:rsidRPr="00000000" w:rsidDel="00000000">
              <w:rPr>
                <w:sz w:val="24"/>
                <w:vertAlign w:val="superscript"/>
                <w:rtl w:val="0"/>
              </w:rPr>
              <w:t xml:space="preserve">2</w:t>
            </w:r>
            <w:r w:rsidR="00000000" w:rsidRPr="00000000" w:rsidDel="00000000">
              <w:rPr>
                <w:sz w:val="24"/>
                <w:rtl w:val="0"/>
              </w:rPr>
              <w:t xml:space="preserve"> , 37.</w:t>
            </w:r>
            <w:r w:rsidR="00000000" w:rsidRPr="00000000" w:rsidDel="00000000">
              <w:rPr>
                <w:sz w:val="24"/>
                <w:vertAlign w:val="superscript"/>
                <w:rtl w:val="0"/>
              </w:rPr>
              <w:t xml:space="preserve">2</w:t>
            </w:r>
            <w:r w:rsidR="00000000" w:rsidRPr="00000000" w:rsidDel="00000000">
              <w:rPr>
                <w:sz w:val="24"/>
                <w:rtl w:val="0"/>
              </w:rPr>
              <w:t xml:space="preserve">, 37.</w:t>
            </w:r>
            <w:r w:rsidR="00000000" w:rsidRPr="00000000" w:rsidDel="00000000">
              <w:rPr>
                <w:sz w:val="24"/>
                <w:vertAlign w:val="superscript"/>
                <w:rtl w:val="0"/>
              </w:rPr>
              <w:t xml:space="preserve">4 </w:t>
            </w:r>
            <w:r w:rsidR="00000000" w:rsidRPr="00000000" w:rsidDel="00000000">
              <w:rPr>
                <w:sz w:val="24"/>
                <w:rtl w:val="0"/>
              </w:rPr>
              <w:t xml:space="preserve">punkts un 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19.,21.,24.,28.,33. vai 46.pantiem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22.</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1. panta 3.,4.,5.,6.,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22.</w:t>
            </w:r>
            <w:r w:rsidR="00000000" w:rsidRPr="00000000" w:rsidDel="00000000">
              <w:rPr>
                <w:sz w:val="24"/>
                <w:vertAlign w:val="superscript"/>
                <w:rtl w:val="0"/>
              </w:rPr>
              <w:t xml:space="preserve">1</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23.</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19. panta 3. punkts, 21. panta 8. punkts, 24. panta 6. punkts, 28. panta 3. punkts, 33.panta 5.punkts vai 46.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29.3. un 30.</w:t>
            </w:r>
            <w:r w:rsidR="00000000" w:rsidRPr="00000000" w:rsidDel="00000000">
              <w:rPr>
                <w:sz w:val="24"/>
                <w:vertAlign w:val="superscript"/>
                <w:rtl w:val="0"/>
              </w:rPr>
              <w:t xml:space="preserve">9</w:t>
            </w:r>
            <w:r w:rsidR="00000000" w:rsidRPr="00000000" w:rsidDel="00000000">
              <w:rPr>
                <w:sz w:val="24"/>
                <w:rtl w:val="0"/>
              </w:rPr>
              <w:t xml:space="preserve">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2022/2473 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717/2014 ( 2014. gada 27. jūnijs )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717/2014 7.panta 4.punkts un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717/2014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15.</w:t>
            </w:r>
            <w:r w:rsidR="00000000" w:rsidRPr="00000000" w:rsidDel="00000000">
              <w:rPr>
                <w:sz w:val="24"/>
                <w:vertAlign w:val="superscript"/>
                <w:rtl w:val="0"/>
              </w:rPr>
              <w:t xml:space="preserve">1</w:t>
            </w:r>
            <w:r w:rsidR="00000000" w:rsidRPr="00000000" w:rsidDel="00000000">
              <w:rPr>
                <w:sz w:val="24"/>
                <w:rtl w:val="0"/>
              </w:rPr>
              <w:t xml:space="preserve">1 apakšpunkts un 30.</w:t>
            </w:r>
            <w:r w:rsidR="00000000" w:rsidRPr="00000000" w:rsidDel="00000000">
              <w:rPr>
                <w:sz w:val="24"/>
                <w:vertAlign w:val="superscript"/>
                <w:rtl w:val="0"/>
              </w:rPr>
              <w:t xml:space="preserve">11</w:t>
            </w:r>
            <w:r w:rsidR="00000000" w:rsidRPr="00000000" w:rsidDel="00000000">
              <w:rPr>
                <w:sz w:val="24"/>
                <w:rtl w:val="0"/>
              </w:rPr>
              <w:t xml:space="preserve"> , 37.</w:t>
            </w:r>
            <w:r w:rsidR="00000000" w:rsidRPr="00000000" w:rsidDel="00000000">
              <w:rPr>
                <w:sz w:val="24"/>
                <w:vertAlign w:val="superscript"/>
                <w:rtl w:val="0"/>
              </w:rPr>
              <w:t xml:space="preserve">2</w:t>
            </w:r>
            <w:r w:rsidR="00000000" w:rsidRPr="00000000" w:rsidDel="00000000">
              <w:rPr>
                <w:sz w:val="24"/>
                <w:rtl w:val="0"/>
              </w:rPr>
              <w:t xml:space="preserve"> , 37.</w:t>
            </w:r>
            <w:r w:rsidR="00000000" w:rsidRPr="00000000" w:rsidDel="00000000">
              <w:rPr>
                <w:sz w:val="24"/>
                <w:vertAlign w:val="superscript"/>
                <w:rtl w:val="0"/>
              </w:rPr>
              <w:t xml:space="preserve">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717/2014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15.</w:t>
            </w:r>
            <w:r w:rsidR="00000000" w:rsidRPr="00000000" w:rsidDel="00000000">
              <w:rPr>
                <w:sz w:val="24"/>
                <w:vertAlign w:val="superscript"/>
                <w:rtl w:val="0"/>
              </w:rPr>
              <w:t xml:space="preserve">1</w:t>
            </w:r>
            <w:r w:rsidR="00000000" w:rsidRPr="00000000" w:rsidDel="00000000">
              <w:rPr>
                <w:sz w:val="24"/>
                <w:rtl w:val="0"/>
              </w:rPr>
              <w:t xml:space="preserve">2 apakšpunkts un 30.</w:t>
            </w:r>
            <w:r w:rsidR="00000000" w:rsidRPr="00000000" w:rsidDel="00000000">
              <w:rPr>
                <w:sz w:val="24"/>
                <w:vertAlign w:val="superscript"/>
                <w:rtl w:val="0"/>
              </w:rPr>
              <w:t xml:space="preserve">11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717/2014 3.panta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717/2014 2.panta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717/2014 3.panta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2023.gada 16.februāra līdz 2023.gada 2.martam MK noteikumu projekts tika izsludināts publiskā apspriešanā (TA 23-TA-377). Laika perioda nav saņemti komentāri par MK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projektam TA 23-TA-377 nebija iespējams atjaunot noteikumu konsolidēto versiju, tika veidots jauns Tiesību akta projekts, kur atkārtoti netiek izsludināts publiskā apspriešanā.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23-TA-1000</w:t>
    </w:r>
    <w:r>
      <w:br/>
    </w:r>
    <w:r w:rsidR="00000000" w:rsidRPr="00000000" w:rsidDel="00000000">
      <w:rPr>
        <w:rtl w:val="0"/>
      </w:rPr>
      <w:t xml:space="preserve">Izdrukāts 30.07.2026. 00.26 - 6.0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23-TA-1000</w:t>
    </w:r>
    <w:r>
      <w:br/>
    </w:r>
    <w:r w:rsidR="00000000" w:rsidRPr="00000000" w:rsidDel="00000000">
      <w:rPr>
        <w:rtl w:val="0"/>
      </w:rPr>
      <w:t xml:space="preserve">Izdrukāts 30.07.2026. 00.26 - 6.0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anotācija_(ex_ante)_23-TA-1000.docx</dc:title>
</cp:coreProperties>
</file>

<file path=docProps/custom.xml><?xml version="1.0" encoding="utf-8"?>
<Properties xmlns="http://schemas.openxmlformats.org/officeDocument/2006/custom-properties" xmlns:vt="http://schemas.openxmlformats.org/officeDocument/2006/docPropsVTypes"/>
</file>