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28. novembra noteikumos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(turpmāk – Noteikumu projekts) ir  Labklājības ministrijas (turpmāk – LM) iniciatīva un Noteikumu projekts ir izstrādāts saskaņā ar Eiropas Savienības fondu 2021.–2027. gada plānošanas perioda vadības likuma 19. panta 6. un 13. punktu un Ministru kabineta 2023. gada 28. novembra noteikumu Nr. 691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(turpmāk – MK noteikumi Nr. 691) 8. 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palielināt pieejamo kopējo attiecināmo finansējumu līdz MK noteikumu Nr. 691 7. punktā minētajam plānotajam kopējam apmēram, svītrot nosacījumus par elastības finansējumu un ar to saistītās uzraudzības rādītāju vērtības, papildināt ar demarkācijas nosacījumiem, precizēt finansējuma saņēmēja pienākumus attiecībā uz interešu konflikta, korupcijas un krāpšanas novēršanu un sabiedrības informēšanas un izpratnes veicināšanas pasākumu īstenošanu, kā arī precizēt valsts atbalsta piešķiršanas nosacījumus valsts un pašvaldības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 punkts, noteic 4.3.3.2. pasākumam "Nelabvēlīgākā situācijā esošu bezdarbnieku un ekonomiski neaktīvo iedzīvotāju iekļaušanās darba tirgū sekmēšana" (turpmāk – 4.3.3.2. pasākums) kopējo plānoto finansējumu, ietverot norādi par finansējuma apjomu bez elastības finansējuma. Vienlaikus 4. punktā un 4.1., 4.2. un 4.3. apakšpunktā ietvertas norādes par uzraudzības rādītāju vērtībām, kuras plāno 4.3.3.2. pasākuma projekta iesniegumā līdz elastības finansējuma piešķiršanai. Savukārt, atbilstoši 8. punktā norādītajam pēc Eiropas Komisijas (turpmāk – EK) lēmuma par vidusposma pārskatu var ierosināt no 2026. gada 1. janvāra palielināt 4.3.3.2. pasākumam pieejamo kopējo finansējumu par iezīmēto elastības 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30.12. apakšpunkts, noteic, ka, īstenojot 4.3.3.2. pasākuma projektu, finansējuma saņēmējs piesaista atbalstāmo darbību veikšanai nepieciešamo personālu vai īsteno iepirkumus, nodrošinot, ka projekta īstenošanas laikā tiek ievēroti interešu konflikta, korupcijas un krāpšanas novēršanas nosacījumi, un paredzot, ka projekta vadībā iesaistītais personāls un iepirkumu līgumu izpildītāji ir parakstījuši apliecinājumus par interešu konflikta neesību saskaņā ar Eiropas Parlamenta un Padomes 2024. gada 23. septembra Regulas (ES, Euratom) 2024/2509 par finanšu noteikumiem, ko piemēro Savienības vispārējam budžetam (pārstrādāta redakcija) (turpmāk – regula 2024/2509), 61. pantu  un normatīvajiem aktiem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33. punkts, noteic finanšu atbalstu (turpmāk – de minimis atbalsts) darba devējam (turpmāk – atbalsta saņēmējs), kuru par šo noteikumu 16.3.2.  apakšpunktā minētajām izmaksām NVA sniedz atbalsta saņēmējam. Un, ja de minimis atbalstu par šo noteikumu 16.3.2. apakšpunktā minētajām izmaksām sniedz valsts vai pašvaldības iestādei, NVA kā atbalsta sniedzējs izvērtē,  vai atbalsts kvalificējams kā komercdarbības 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 gada 15. decembrī EK sniedza pozitīvu lēmumu par Eiropas Savienības kohēzijas politikas programmas 2021.-2027. gadam grozījumiem Nr. 3., t.i. tika apstiprināti vidussposma grozījumi (turpmāk – Programmas grozījumi Nr. 3) ar kuriem ir piešķirts elastības finansējums. Nepieciešams atbilstoši precizēt MK noteikumu Nr. 691 4. punktu, 4.1., 4.2. apakšpunktu, kā arī 7. punktu, izslēdzot informāciju par elastības finansējumu. Nepieciešams arī atbilstoši svītrot 8. punktu, jo tas zaudējis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Uzsākoties arvien jaunām atbalsta aktivitātēm personām ar invaliditāti, nepieciešams paredzēt nosacījumus, lai novērstu dubultfinansēšanas risku, piešķirot atbalstu darba devējiem personu ar invaliditāti darba vietu pielāgošanai. MK noteikumos Nr. 691 nepieciešams ietvert nosacījumus NVA, piešķirot finansējumu darba devējiem pasākumu noteiktām personu grupām un pasākuma darba vietu pielāgošanai nodarbinātām personām ar invaliditāti (MK noteikumu Nr. 691 14.1. un 14.2. apakšpunktā minētā atbalstāmā darbība) darba vietu pielāgošanai personām ar invaliditāti, lai turpmāk nodrošinātu demarkāciju un dubultnefinansēšanu ar citiem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noteikumos Nr. 691 trūkst norāde par nosacījumu NVA kā finansējuma saņēmējam ievērot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regulas 50. panta 1. punkta e) apakšpunkta nosacījumu, īstenojot iedzīvotāju, darba devēju un institūciju sasniegšanas pasākumus, tai skaitā pasākumus sabiedrības izpratnes veicināšanai attiecībā uz mērķa grupu nodarbinātības veicināšanu (14.9.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interešu konflikta, korupcijas un krāpšanas novēršanas nosacījumiem MK noteikumos Nr. 691 noteiktā prasība – ievērot konflikta, korupcijas un krāpšanas novēršanas nosacījumus – ir attiecināma uz finansējuma saņēmēja piesaistīto personālu, ne uz iepirkumu līgumu izpildītājiem (proti, tā saskaņā ar normatīvajiem aktiem publisko iepirkumu jomā nav saistoša). Tāpēc ir nepieciešams redakcionāli precizēt MK noteikumu Nr. 691 30.12. apakšpunktu, svītrojot pienākumu šo prasību ievērot iepirkumu līgumu izpildītajiem. Tāpat  arī nepieciešams salāgot interešu konflikta, korupcijas un krāpšanas novēršanas nosacījumus ar citos nozares normatīvajos aktos ietvertajām redakcijām, tās norādot atbilstoši aktualizētajām Finanšu ministrijas vadlīnijām Nr.1.4. “Vadlīnijas Ministru kabineta noteikumu par specifiskā atbalsta mērķa īstenošanu izstrādei Eiropas Savienības fondu 2021.—2027. gada plānošanas periodā”, ietverot norādi uz regulas 2024/250961. pantu. Nosacījumu izmaiņas nemainīs līdzšinēji  finansējuma saņēmējam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to, ka 2026. gada 30. janvārī stājās spēkā MK 2026. gada 27. janvāra noteiktumi Nr. 33 "Grozījumi Ministru kabineta 2011. gada 25. janvāra noteikumos Nr. 75 "Noteikumi par aktīvo nodarbinātības pasākumu un preventīvo bezdarba samazināšanas pasākumu organizēšanas un finansēšanas kārtību un pasākumu īstenotāju izvēles principiem"" un to 52. punkts (MK 2011. gada 25. janvāra noteikumu Nr. 75 "Noteikumi par aktīvo nodarbinātības pasākumu un preventīvo bezdarba samazināšanas pasākumu organizēšanas un finansēšanas kārtību un pasākumu īstenotāju izvēles principiem"192.</w:t>
      </w:r>
      <w:r w:rsidR="00000000" w:rsidRPr="00000000" w:rsidDel="00000000">
        <w:rPr>
          <w:vertAlign w:val="superscript"/>
          <w:rtl w:val="0"/>
        </w:rPr>
        <w:t xml:space="preserve">6</w:t>
      </w:r>
      <w:r w:rsidR="00000000" w:rsidRPr="00000000" w:rsidDel="00000000">
        <w:rPr>
          <w:rtl w:val="0"/>
        </w:rPr>
        <w:t xml:space="preserve"> punkts) paredz precizētus nosacījumus valsts un pašvaldības iestāžu atbilstības</w:t>
      </w:r>
      <w:r w:rsidR="00000000" w:rsidRPr="00000000" w:rsidDel="00000000">
        <w:rPr>
          <w:i w:val="1"/>
          <w:rtl w:val="0"/>
        </w:rPr>
        <w:t xml:space="preserve"> de minimis</w:t>
      </w:r>
      <w:r w:rsidR="00000000" w:rsidRPr="00000000" w:rsidDel="00000000">
        <w:rPr>
          <w:rtl w:val="0"/>
        </w:rPr>
        <w:t xml:space="preserve"> atbalstam noteikšanai, nepieciešams šī punkta nosacījumus salāgot ar MK noteikumu Nr. 691 33. punkta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Noteikumu projekts paredz veikt šādus precizējumus MK noteikumos Nr. 691: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4. punkta. 4.1. un 4.2.  apakšpunkta redakcijas, svītrojot norādes par 4.3.3.2. pasākuma projekta iesniegumā plānojamajām vērtībām.  Ņemot vērā EK lēmumu, apstiprinot Programmas grozījumus Nr. 3 atbalstīt elastības finansējumu, 4.3.3.2. pasākumam kopējais plānotais finanšu apjoms paliek nemainīgs. Atbilstoši 7. punktā paredz svītrot informāciju par elastības finansējumu un svītrot 8. punktu, jo tas zaudējis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MK noteikumus Nr. 691 ar 23.</w:t>
      </w:r>
      <w:r w:rsidR="00000000" w:rsidRPr="00000000" w:rsidDel="00000000">
        <w:rPr>
          <w:vertAlign w:val="superscript"/>
          <w:rtl w:val="0"/>
        </w:rPr>
        <w:t xml:space="preserve">1</w:t>
      </w:r>
      <w:r w:rsidR="00000000" w:rsidRPr="00000000" w:rsidDel="00000000">
        <w:rPr>
          <w:rtl w:val="0"/>
        </w:rPr>
        <w:t xml:space="preserve"> punktu, paredzot, ka, īstenojot pasākumus noteiktām personu grupām un pasākumu nodarbināto personu ar invaliditāti darba vietu pielāgošanai (14.1.  un 14.2. apakšpunkts), NVA šo noteikumu 16.3.1.2.2. un 16.3.2. apakšpunktā minētās izmaksas turpmāk piešķir darba devējam tikai par tādiem darba vietas pielāgojumiem,   par kuriem darba devējs pēdējo piecu gadu laikā nav saņēmis vienreizēju dotāciju konkrētās personas ar invaliditāti darba vietas pielāgošanai darbības programmas "Izaugsme un nodarbinātība" 9.1.1. specifiskā atbalsta mērķa "Palielināt nelabvēlīgākā situācijā esošu bezdarbnieku iekļaušanos darba tirgū" 9.1.1.1. pasākuma "Subsidētās darbavietas nelabvēlīgākā situācijā esošiem bezdarbniekiem", 7.1.1. specifiskā atbalsta mērķa "Paaugstināt bezdarbnieku kvalifikāciju un prasmes atbilstoši darba tirgus pieprasījumam" un 14.1.2. specifiskā atbalsta mērķa "Atveseļošanas pasākumi labklājības jomā",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4.3.3.1. pasākuma "Bezdarbnieku, darba meklētāju un bezdarba riskam pakļauto personu kvalifikācijas un prasmju paaugstināšana", 4.3.3.2. pasākuma, 4.3.3.5. pasākuma "Ilgāka un labāka darba mūža veicināšana", kā arī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ietvaros. Tādējādi, sniedzot iespēju personām ar invaliditāti piedalīties MK noteikumos Nr. 75 noteiktajos aktīvās darba tirgus politikas pasākumos, kuros ir paredzētas izmaksas darba devējiem darba vietas pielāgošanai personām ar invaliditāti, jo bez turpmākas darba vietas pielāgošanas personai ar invaliditāti var būt apgrūtināta iespēja piedalīties 4.3.3.2. pasākumā un atgriezties vai noturēties darba tirgū.  Piecu gadu termiņa ierobežojums atkārtotai dotācijas saņemšanai konkrētās personas ar invaliditāti darba vietas pielāgošanai noteikts sasaistē ar regulas 2021/1060  65. pantā ietvertajiem  ilgtspējas nosacījumiem.  Savukārt 23.</w:t>
      </w:r>
      <w:r w:rsidR="00000000" w:rsidRPr="00000000" w:rsidDel="00000000">
        <w:rPr>
          <w:vertAlign w:val="superscript"/>
          <w:rtl w:val="0"/>
        </w:rPr>
        <w:t xml:space="preserve">1</w:t>
      </w:r>
      <w:r w:rsidR="00000000" w:rsidRPr="00000000" w:rsidDel="00000000">
        <w:rPr>
          <w:rtl w:val="0"/>
        </w:rPr>
        <w:t xml:space="preserve"> punktā norādītā dotācijas saņemšanas diena ir līguma noslēgšanas diena starp finansējuma saņēmēju (NVA) un darba devēju. Noteikumu projekta 5. punktā ietvertie jaunie nosacījumi (MK noteikumu Nr. 691 23.</w:t>
      </w:r>
      <w:r w:rsidR="00000000" w:rsidRPr="00000000" w:rsidDel="00000000">
        <w:rPr>
          <w:vertAlign w:val="superscript"/>
          <w:rtl w:val="0"/>
        </w:rPr>
        <w:t xml:space="preserve">1</w:t>
      </w:r>
      <w:r w:rsidR="00000000" w:rsidRPr="00000000" w:rsidDel="00000000">
        <w:rPr>
          <w:rtl w:val="0"/>
        </w:rPr>
        <w:t xml:space="preserve"> punkts) ir attiecināmi uz tiem darba devēju pieteikumiem MK noteikumu Nr. 691 14.1. un 14.2. apakšpunktā noteikto pasākumu īstenošanai, kuri iesniegti NVA pēc tam, kad stājies spēkā MK noteikumu Nr. 691 23.</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30.2.1 apakšpunktu, nosakot, ka, īstenojot iedzīvotāju, darba devēju un institūciju sasniegšanas pasākumus, tai skaitā pasākumus sabiedrības izpratnes veicināšanai attiecībā uz mērķa grupu nodarbinātības veicināšanu (14.9. apakšpunkts), finansējuma saņēmējs ievēro regulas 2021/1060 50. panta 1. punkta e) apakšpunktā un  ES fondu 2021.–2027. gada un Atveseļošanas fonda komunikācijas un dizaina vadlīnijās noteikto, t.i.,  ņemot vērā, ka 4.3.3.2. pasākuma kopējās attiecināmās izmaksas pārsniedz 10 000 000 </w:t>
      </w:r>
      <w:r w:rsidR="00000000" w:rsidRPr="00000000" w:rsidDel="00000000">
        <w:rPr>
          <w:i w:val="1"/>
          <w:rtl w:val="0"/>
        </w:rPr>
        <w:t xml:space="preserve">euro</w:t>
      </w:r>
      <w:r w:rsidR="00000000" w:rsidRPr="00000000" w:rsidDel="00000000">
        <w:rPr>
          <w:rtl w:val="0"/>
        </w:rPr>
        <w:t xml:space="preserve">, finansējuma saņēmējam ir pienākums organizē vismaz vienu sabiedrības informēšanas pasākumu, kurā iesaista EK vai EK pārstāvniecību Latvijā,  pieaicinot arī  vadošo iestādi un/vai LM kā atbildīgo iestādi, un/vai  Centrālo finanšu un līgumu aģentūru (turpmāk –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 30.12. apakšpunktu un ietvert jaunu 30.13. apakšpunktu, precizējot finansējuma saņēmēja pienākumus attiecībā uz interešu konflikta, korupcijas un krāpšanas novēršanas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33. punkta nosacījumus, tos salāgojot ar aktuālo MK noteikumu Nr. 75 192.</w:t>
      </w:r>
      <w:r w:rsidR="00000000" w:rsidRPr="00000000" w:rsidDel="00000000">
        <w:rPr>
          <w:vertAlign w:val="superscript"/>
          <w:rtl w:val="0"/>
        </w:rPr>
        <w:t xml:space="preserve">6</w:t>
      </w:r>
      <w:r w:rsidR="00000000" w:rsidRPr="00000000" w:rsidDel="00000000">
        <w:rPr>
          <w:rtl w:val="0"/>
        </w:rPr>
        <w:t xml:space="preserve"> redakciju, t.i., paredzot, ka 16.3.2. apakšpunktā minētās  izmaksas kvalificējamas  kā </w:t>
      </w:r>
      <w:r w:rsidR="00000000" w:rsidRPr="00000000" w:rsidDel="00000000">
        <w:rPr>
          <w:i w:val="1"/>
          <w:rtl w:val="0"/>
        </w:rPr>
        <w:t xml:space="preserve">de minimis </w:t>
      </w:r>
      <w:r w:rsidR="00000000" w:rsidRPr="00000000" w:rsidDel="00000000">
        <w:rPr>
          <w:rtl w:val="0"/>
        </w:rPr>
        <w:t xml:space="preserve">atbalsts valsts vai pašvaldības iestādei, ja tā nav iekļauta NVA apstiprinātajā valsts un pašvaldību iestāžu sarakstā (turpmāk - saraksts), kurām komercdarbības atbalsta nosacījumi netiek piemēroti, jo tām nav konstatētas komercdarbības atbalstu raksturojošās pazīmes. NVA ir atbildīga par izveidotā saraksta aktualitāti (tai skaitā saraksta aktualizēšanu ar noteiktu regularitāti), nodrošinot, ka attiecībā par sarakstā ietvertajām iestādēm atbalsts tiek novirzīts tikai ar saimniecisko raksturu nesaistītai darbībai deleģēto funkciju vai valsts pārvaldes uzdevumu ietvaros, kā arī, nodrošinot, ka, īstenojot darba vietu pielāgošanas pasākumu nodarbinātām personām ar invaliditāti, tiek korekti ievēroti komercdarbības atbalsta nosacījumi uz atbalsta piešķiršanas brīdi.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Ierosinātajiem grozījumiem MK noteikumos Nr. 691 nav negatīvas ietekmes uz NVA kā finansējuma saņēmēju. NVA ir informēta par Noteikumu projektu tā izstrādes un saskaņošanas gaitā, tostarp par to, ka grozījumi būs veicami 2024. gada 25. jūnija  vienošanās Nr. 4.3.3.2/1/24/I/002  par projekta Nr. 4.3.3.2/1/24/I/002  “Pasākumi iekļaujošai nodarbinātībai” īstenošanu pielikumā esošajā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palielinot pieejamo kopējo attiecināmo finansējumu līdz Noteikumu projekta 3. punktā minētajam plānotajam kopējam apmēram (tādējādi nodrošinot elastības finansējuma pieejamību minētā projekta īstenošanai) un atbilstoši Noteikumu projekta 1. un 2. punktam palielinot Programmas iznākuma rādītājus. Finanšu ministrijas kā ES kohēzijas politikas fondu vadošās iestādes skaidrojumā par elastības finansējumu un tā izmantošanas iespējām 2021.-2027.gada plānošanas periodā noteikts, ka, lai nodrošinātu elastības finansējuma pieejamību atbildīgā iestāde nosūta vēstuli CFLA ar lūgumu palielināt projekta finansējumu līdz MK noteikumos par specifiskā atbalsta mērķa īstenošanu noteiktajam plānotā finansējuma apjomam (t.i. par elastības finansējuma daļu). Ievērojot, ka Noteikumu projekts jau paredz elastības finansējuma pieejamību NVA projektam, lai mazinātu administratīvo slogu, papildu vēstuli LM kā atbildīgā iestāde CFLA nesūtīs;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papildinot nosacījumus demarkācijas un dubultnefinansēšanas nodrošināšanai atbilstoši Noteikumu projekta  5. punktā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ietverot NVA pienākumu, īstenojot iedzīvotāju, darba devēju un institūciju sasniegšanas pasākumus, tai skaitā pasākumus sabiedrības izpratnes veicināšanai attiecībā uz mērķa grupu nodarbinātības veicināšanu (Noteikumu projekta 6. punkts), organizēt vismaz vienu sabiedrības informēšanas pasākumu, kurā iesaista EK vai EK pārstāvniecību Latvijā, pieaicinot arī vadošo iestādi un/ vai LM kā atbildīgo iestādi un/vai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ir iespēja sniegt plašāku pakalpojumu loku bezdarba riskam pakļautajām personām, turpmāk tām nodrošinot arī profesionālo izglītību, pārkvalifikāciju, kvalifikācijas paaugstināšanu un ārpus formālās izglītības sistēmas apgūtās profesionālās kompetences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jānodrošina demarkācija atbilstoši Noteikumu projektā paredzētajam 23.</w:t>
      </w:r>
      <w:r w:rsidR="00000000" w:rsidRPr="00000000" w:rsidDel="00000000">
        <w:rPr>
          <w:vertAlign w:val="superscript"/>
          <w:rtl w:val="0"/>
        </w:rPr>
        <w:t xml:space="preserve">1</w:t>
      </w:r>
      <w:r w:rsidR="00000000" w:rsidRPr="00000000" w:rsidDel="00000000">
        <w:rPr>
          <w:rtl w:val="0"/>
        </w:rPr>
        <w:t xml:space="preserve"> punktā, jānodrošina interešu konflikta, korupcijas un krāpšanas novēršanas nosacījumi atbilstoši 30.12. un 30.13. apakšpunktā noteiktajam, kā arī, īstenojot iedzīvotāju, darba devēju un institūciju sasniegšanas pasākumus, tai skaitā pasākumus sabiedrības izpratnes veicināšanai attiecībā uz mērķa grupu nodarbinātības veicināšanu (14.9. apakšpunkts), jāorganizē vismaz vienu sabiedrības informēšanas pasākumu, kurā jāiesaista EK vai EK pārstāvniecību Latvijā, EK vai EK pārstāvniecību Latvijā, pieaicinot arī vadošo iestādi un/vai LM kā atbildīgo iestādi, un/vai CFLA.  Savukārt CFLA jāņem vērā Noteikumu projektā paredzētais, organizējot un īstenojot 4.3.3.2. pasākuma uzraudzību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Nodarbinātības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tādas izmaiņas, kas skar NVA un CFLA saistošus 4.3.3.2. pasākuma īstenošanas un uzraudzības nosacījumus, kā arī, ka sabiedrības līdzdalība tikusi nodrošināta jau MK noteikumu Nr. 75 grozījumu izstrādes procesā (25-TA-1534), sabiedrības līdzdalība netika izsludināta.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4.3.3.2. pasākuma sākotnēji identificētās horizontālās ietekmes aspektus.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26-TA-298</w:t>
    </w:r>
    <w:r>
      <w:br/>
    </w:r>
    <w:r w:rsidR="00000000" w:rsidRPr="00000000" w:rsidDel="00000000">
      <w:rPr>
        <w:rtl w:val="0"/>
      </w:rPr>
      <w:t xml:space="preserve">Izdrukāts 29.07.2026. 23.37 - 2.0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26-TA-298</w:t>
    </w:r>
    <w:r>
      <w:br/>
    </w:r>
    <w:r w:rsidR="00000000" w:rsidRPr="00000000" w:rsidDel="00000000">
      <w:rPr>
        <w:rtl w:val="0"/>
      </w:rPr>
      <w:t xml:space="preserve">Izdrukāts 29.07.2026. 23.37 - 2.0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anotācija_(ex_ante)_26-TA-298.docx</dc:title>
</cp:coreProperties>
</file>

<file path=docProps/custom.xml><?xml version="1.0" encoding="utf-8"?>
<Properties xmlns="http://schemas.openxmlformats.org/officeDocument/2006/custom-properties" xmlns:vt="http://schemas.openxmlformats.org/officeDocument/2006/docPropsVTypes"/>
</file>