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Privāto pensiju fondu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(turpmāk – Direktīva 2022/2464).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Privāto pensiju fondu likumā" (turpmāk - Likumprojekts) ir izstrādāts, lai normatīvajā regulējumā iekļautu tiesību normas, kas izriet no Direktīvas 2022/2464 un nodrošinātu, ka gada pārskata sastāvdaļā vadības ziņojumā iekļauj ilgtspējas ziņojumu, kas izriet no Direktīvas 2022/2464 un likumprojektā "Ilgtspējas informācijas atklāšanas likums" iekļautām tiesību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2022/2464 5. panta 1. punktu dalībvalstīs stājas spēkā normatīvie un administratīvie akti, kas vajadzīgi, lai izpildītu šīs direktīvas 1. līdz 3. panta prasības līdz 2024. gada 6.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tiesību normas, kas izriet no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 2013/34/ES), ir iekļautas  Gada pārskatu un konsolidēto gada pārskatu likumā (turpmāk – GPKGPL), izņemot šīs direktīvas 10.nodaļu "Ziņojums par maksājumiem pārvaldes struktūrām", 19.a pantu "Nefinanšu informācija", 29.a pantu "Konsolidētais nefinanšu paziņojums" un 35. pantu "Grozījums Direktīvā 2006/43/EK attiecībā uz revīzijas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GPKGPL neattiecas uz kredītiestādēm, krājaizdevu sabiedrībām, apdrošināšanas sabiedrībām, pārapdrošināšanas sabiedrībām, privātajiem pensiju fondiem, ieguldījumu brokeru sabiedrībām, ieguldījumu pārvaldes sabiedrībām un alternatīvo ieguldījumu fondiem, kuri dibināti kā komercsabiedrības. Minēto sabiedrību darbību un gada pārskatu, kā arī konsolidēto gada pārskatu sagatavošanu regulē attiecīgo nozari reglamentējošie likumi un uz to pamata izdotie normatīvie akti, tai skaitā Latvijas Bankas noteikumi, kuros iekļauts arī Direktīvā 2013/34 paredzētais regulējums, kas attiecas uz minēto sabiedrību gada pārskatiem un konsolidētajiem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2022/2464  jaunās prasības nosaka, ka lielas, mazas (izņemot mikrosabiedrības) un vidējas sabiedrības, kuru pārvedami vērtspapīri ir iekļauti regulētajā tirgū, gada pārskata sastāvdaļā vadības ziņojumā iekļauj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2. apsvērumā  ir norādīts, ka savā 2018. gada 8. marta paziņojumā ar nosaukumu “Rīcības plāns: ilgtspējīgas izaugsmes finansēšana” (“Rīcības plāns ilgtspējīgas izaugsmes finansēšana”) Eiropas Komisija ir izklāstījusi pasākumus šādu mērķu sasniegšanai – pārorientēt kapitāla plūsmas uz ilgtspējīgiem ieguldījumiem, lai panāktu ilgtspējīgu un iekļaujošu izaugsmi, pārvaldīt finanšu riskus, kas izriet no klimata pārmaiņām, resursu izsmelšanas, vides degradācijas un sociālajām problēmām, un veicināt pārredzamību un ilgtermiņa pieeju finansiālajā un ekonomiskajā darbībā. Atbilstošas, salīdzināmas un ticamas ar ilgtspēju saistītas informācijas atklāšana, ko veic noteiktas uzņēmumu kategorijas, ir priekšnoteikums šo mērķu sasniegšanai. Eiropas Parlaments un Padome, īstenojot Rīcības plānu ilgtspējīgas izaugsmes finansēšanai, ir pieņēmuši vairākus leģislatīvus aktus. Eiropas Parlamenta un Padomes 2019. gada 27. novembra Regula (ES) 2019/2088 par informācijas atklāšanu, kas saistīta ar ilgtspēju, finanšu pakalpojumu nozarē, nosaka kārtību, kādā finanšu tirgus dalībnieki un finanšu konsultanti atklāj ilgtspējas informāciju individuālajiem ieguldītājiem un aktīvu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Savienības tiesību aktus par starptautiskajiem grāmatvedības standartiem ir pieņemta Komisijas 2023. gada 13. augusta regula (ES)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skaidrojumu nepieciešams 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Privāto pensiju fondu likuma (turpmāk - Likums) 1. panta pirmās daļas 32. punktā atsauci uz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1.pantu ar ceturto daļu, kur skaidroti lietotie termini  “ilgtspējas ziņojums” un “konsolidētais ilgtspējas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Likuma 36. panta normas un aizstāt iepriekšējo likuma "Par grāmatvedību" nosaukumu ar jauno “Grāmatvedības likums”, kā arī noteikt, ka gada pārskatu sagatavo arī saskaņā ar Ilgtspējas informācijas atklāšanas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13. apsvērumā  ir norādīts, ka Eiropas Komisijas 2021. gada 21. aprīļa ziņojumā par pārskatīšanas klauzulām Direktīvās 2013/34/ES, 2014/95/ES un 2013/50/ES un tam pievienotajā atbilstības pārbaudē attiecībā uz ES satvaru uzņēmumu veiktai publiskai ziņošanai (“Komisijas ziņojums par pārskatīšanas klauzulām un tam pievienotā atbilstības pārbaude”) ir konstatētas problēmas attiecībā uz Direktīvas 2014/95/ES atbilstību tās mērķa sasniegšanai. Pastāv nozīmīgi pierādījumi tam, ka daudzi uzņēmumi neatklāj būtisku informāciju par visiem galvenajiem ar ilgtspēju saistītajiem jautājumiem, tostarp ar klimatu saistītu informāciju, tādu kā visas SEG emisijas, un faktorus, kas ietekmē bioloģisko daudzveidību. Ziņojumā kā būtiska problēma ir konstatēta arī ilgtspējas informācijas ierobežotā salīdzināmība un ticamība. Turklāt daudziem uzņēmumiem, no kuriem lietotājiem ir nepieciešama ilgtspējas informācija, nav pienākums šādu informāciju paziņot. Līdz ar to ir skaidra nepieciešamība pēc stabila un izmaksu ziņā pieejama ziņošanas satvara, kas būtu papildināts ar efektīvu revīzijas praksi, lai nodrošinātu datu ticamību un izvairītos no zaļmaldināšanas un dubultas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2013/34/ES  34. pants paredz to, ka arī ilgtspējas ziņojums un konsolidētais ilgtspējas ziņojums ir jāpārbauda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95. panta 5. daļā ir ietvertas normas attiecībā uz gada pārskata un konsolidētā gada pārskata parakstīšanu, kuras tika apspriestas Gada pārskatu un konsolidēto gada pārskatu likumprojekta sagatavošanas un saskaņošanas procesā Grāmatvedības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normas nosaka gada pārskata sagatavošanas kārtību, pamatojoties uz Eiropas Komisijas apstiprinātiem starptautiskajiem grāmatvedības standartiem un starptautiskajiem finanšu pārskatu standartiem, bet nenosaka gada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36. pantu un ieviest normas, ka pēc zvērināta revidenta ziņojuma saņemšanas gada pārskatu paraksta valde vai tās pilnvarotais pārstāvis, un finanšu pārskatus paraksta arī grāmatvedis, kas to ir sagatavojis, lai ieviestu Gada pārskatu un konsolidēto gada pārskatu likuma 95. panta 5. daļā ietvertās normas attiecībā uz gada pārskata un konsolidētā gada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55. apsvērumā  ir norādīts, ka Direktīvā 2013/34/ES nav prasīts, lai uzņēmumi savus vadības ziņojumus iesniegtu digitālā formātā, un tas apgrūtina iespējas atrast un izmantot paziņoto informāciju. Ilgtspējas informācijas lietotāji aizvien vairāk sagaida, ka šāda informācija būs atrodama, salīdzināma un mašīnlasāma digitālos formātos. Dalībvalstīm būtu jāspēj prasīt, lai uzņēmumi, uz kuriem attiecas Direktīvas 2013/34/ES ilgtspējas ziņu sniegšanas prasības, savus vadības ziņojumus bez maksas darītu publiski pieejamus savā tīmekļa vietnē. Digitalizācija rada iespējas efektīvāk izmantot informāciju, un tai ir potenciāls būtiski ietaupīt izmaksas gan lietotājiem, gan uzņēmumiem. Digitalizācija arī sniedz iespēju datus centralizēt Savienības un dalībvalstu līmenī atvērtā un pieejamā formātā, kas atvieglo lasīšanu un ļauj datus salīdzināt. Tādēļ būtu jāprasa, lai uzņēmumi savus vadības ziņojumus sagatavotu elektroniskās ziņošanas formātā, kas noteikts Komisijas 2018. gada 17. decembra Deleģētās regulas (ES) 2019/815, ar ko Eiropas Parlamenta un Padomes Direktīvu 2004/109/EK papildina attiecībā uz regulatīvajiem tehniskajiem standartiem par vienotā elektroniskās ziņošanas formāta specifikāciju (turpmāk - Deleģētā regula (ES) 2019/815) 3. pantā, un iezīmē savu ilgtspējas ziņu sniegšanu, tostarp Eiropas Parlamenta un Padomes 2020. gada 18. jūnija Regula (ES) 2020/852 par regulējuma izveidi ilgtspējīgu ieguldījumu veicināšanai un ar ko groza Regulu (ES) 2019/2088 8. pantā prasīto atklājamo informāciju, saskaņā ar elektroniskās ziņošanas formātu, kas norādīts Deleģētajā regulā (ES) 2019/815, tiklīdz tas būs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2. apsvērumā ir norādīts, ka emitentiem visi gada finanšu pārskati būtu jāsagatavo paplašināmās hiperteksta iezīmēšanas valodas (XHTML) formātā. XHTML nav vajadzīgi īpaši mehānismi, lai to nodrošinātu cilvēklasāmā formātā. XHTML kā nepatentēts elektroniskās ziņošanas formāts ir brīvi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6. apsvērumā ir norādīts, ka XBRL iezīmēšanas valodas izmantošana ietver taksonomijas piemērošanu, lai cilvēklasāmo tekstu pārveidotu mašīnlasāmā informācijā. Starptautisko finanšu pārskatu standartu (SFPS) taksonomija, ko darījis pieejams SFPS fonds, ir vispāratzīta taksonomija, kas izstrādāta, lai iezīmētu SFPS noteikto atklājamo informāciju. SFPS taksonomijas izmantošana veicina saskaņā ar SFPS sagatavotu finanšu pārskatu iezīmējumu salīdzināmību pasaules mērogā. Tādējādi pamata taksonomija, kas jāizmanto vienotajam elektroniskajam ziņošanas formātam, būtu jābalsta uz SFPS taksonomiju, un tai jābūt tās paplašinājumam.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Deleģētās regulas (ES) 2019/815 preambulas 9. apsvērumā ir norādīts, ka pārredzamības, pieejamības, analīzes un salīdzināmības nolūkā, ja dalībvalstu tiesību akti pieļauj vai pieprasa gada finanšu pārskatu daļu iezīmēšanu, kas nav saskaņā ar SFPS sagatavotie konsolidētie finanšu pārskati, emitentiem, iezīmējot šīs daļas, būtu jāizmanto XBRL iezīmēšanas valoda un piemērota taksonomija, ko šim nolūkam paredzējusi dalībvalsts, kurā tie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Deleģēto regulu (ES) 2019/815  ir dažādi elektroniskās ziņošanas formāti pēc kādiem jāsagatavo gada pārskati. Piemēram, Deleģētās regulas (ES) 2019/815  3. pants nosaka, ka emitenti sagatavo visus gada finanšu pārskatus XHTML formātā. Savukārt Deleģētās regulas (ES) 2019/815  4. panta 1. punkts nosaka, ja gada finanšu pārskatos iekļauj saskaņā ar SFPS sagatavotos konsolidētos finanšu pārskatus, emitenti iezīmē šos konsolidētos finanšu pārskatus; 2. punkts nosaka, ka emitenti iezīmē vismaz to informāciju, kas norādīta II pielikumā, ja šī informācija ir sniegta saskaņā ar SFPS sagatavotajos konsolidētajos finanšu pārskatos; 4. punktā teikts, ka attiecībā uz iezīmējumiem, kas izklāstīti 1., 2. un 3. punktā, emitenti izmanto XBRL iezīmēšanas valodu un izmanto taksonomiju, kurā elementi ir tie, kas noteikti pamata taksonomijā. Ja saskaņā ar IV pielikuma 4. punktu pamata taksonomijas izmantošana nav piemērota, emitenti izveido paplašinājuma taksonomijas elementus, kā paredzēts IV pielikumā. Savukārt Deleģētās regulas (ES) 2019/815 5. pants nosaka gada finanšu pārskatu citu daļu iezīmēšanu.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36. pantu otro daļu un noteikt, ka pensiju fonds gada pārskatu pēc apstiprināšanas iesniedz Valsts ieņēmumu dienesta elektroniskās deklarēšanas sistēmā gada pārskata atvasinājumu elektroniskā formā, un zvērināta revidenta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36. pantu ar 2.</w:t>
      </w:r>
      <w:r w:rsidR="00000000" w:rsidRPr="00000000" w:rsidDel="00000000">
        <w:rPr>
          <w:vertAlign w:val="superscript"/>
          <w:rtl w:val="0"/>
        </w:rPr>
        <w:t xml:space="preserve">1</w:t>
      </w:r>
      <w:r w:rsidR="00000000" w:rsidRPr="00000000" w:rsidDel="00000000">
        <w:rPr>
          <w:rtl w:val="0"/>
        </w:rPr>
        <w:t xml:space="preserve"> daļu, kas nosaka, ka pensiju fonds, uz kuru attiecas ilgtspējas ziņojuma sagatavošana, iesniedz Valsts ieņēmumu dienesta elektroniskās deklarēšanas sistēmā šā panta otrajā daļā minētos dokumentus, kā arī zvērināta revidenta apliecinājuma ziņojuma kopiju par ilgtspējas ziņojumu vienotā elektroniskā ziņošanas formātā, kā noteikts Komisijas Deleģētajā regulā (ES) 2019/815.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36. panta piektā daļa nosakot, ka saņemtos dokumentus Valsts ieņēmumu dienests ne vēlāk kā piecu darba dienu laikā elektroniski nodod Uzņēmumu reģistram tiešsaistes datu pārraides režīmā. Uzņēmumu reģistrs nodrošina saņemto dokumentu publisku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Likumu pensiju fonds pamatotā laikposmā publicē savā tīmekļvietnē pienācīgi apstiprinātu gada pārskatu kopā ar zvērināta revidenta ziņojumu, kurš ir idensks parakstītajam zvērināta revidenta ziņojumam.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2022/2464 saskaņā ar ilgtspējas ziņu sniegšanas standartiem paredz prasību sagatavot ilgtspējas ziņojumu. Svarīgi, lai pēc iespējas plašāka sabiedrības daļa varētu iepazīties ar šo sabiedrības sniegto informāciju, tai skaitā revidenta apliecinājuma ziņojumu par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36. panta septīto daļu un noteikt, ka apliecinājuma ziņojumu par ilgtspējas ziņojumu arī publicē pensiju fonda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Sabiedrībām pienākums sagatavot ilgtspējas ziņojumu un konsolidēto ilgtspējas ziņojumu (ja tāds jāsagatavo) stājas spēkā Ilgtspējas informācijas atklāšanas likumā noteiktajā kārtībā. Paredzēts arī, ka subjektiem, uz kuriem attieksies Ilgtspējas informācijas atklāšanas likums, būs jāiesniedz Valsts ieņēmumu dienesta elektroniskās deklarēšanas sistēmā viss gada pārskats un konsolidētais gada pārskats (ja tāds jāsagatavo), ne tikai vadības ziņojums, atbilstoši Deleģētajā regulā (ES) 2019/815 noteiktajam vienotajam elektroniskās ziņošanas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periods ir nepieciešams tāpēc, ka no sabiedrību finanšu pārskatiem, kas tiks sagatavoti saskaņā ar vienoto elektroniskās ziņošanas formātu, kas norādīts Deleģētajā regulā (ES) 2019/815, šobrīd Valsts ieņēmumu dienestam nav iespējams izgūt nepieciešamos finanšu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10. punktu, kas paredz, ka pensiju fonds uz kuru attiecas ilgtspējas ziņojuma sagatavošana, līdz 2027. pārskata gadam, gada pārskatus Valsts ieņēmumu dienesta elektroniskās deklarēšanas sistēmā iesniedz, aizpildot strukturētās formas, tam papildus pievienojot datnes ar vienotā elektroniskās ziņošanas formātā sagatavotu vadības ziņojumu un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izveidota un darbību uzsākusi Datu izplatīšanas un pārvaldības platforma, tad, lai optimizētu valsts kopējo resursu patēriņu, nākotnē tiek plānots, ka Valsts ieņēmumu dienests gada pārskatus un konsolidētos gada pārskatus (ja tāds ir) nodos tieši uz platformu. Savukārt, Uzņēmumu reģistrs varēs šos gada pārskatus arī paņemt no platformas.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vērtēti alternatīvi risinājumi, jo ES Dalībvalstīm ir jāpārņem Direktīvas 2022/2464 prasības. Ilgtspējas informācijas atklāšanas likums ir pamatlikums ar kuru tiek pārņemtas Direktīvas 2022/2464/ES prasības un līdz ar to informācija par provizorisko administratīvo un atbilstības izmaksu monetāro novērtējumu, kā arī informācija par pēcpārbaudes (ex-post) izvērtējumu, ir sniegta pamatlikumā "Ilgtspējas informācijas atklāšanas likums". Tādējādi, visos pakārtotajos likumprojektos, t.sk., grozījumos Privāto pensiju fondu likumā, netiek norādīts administratīvo/atbilstības izmaksu monetārais novērtējums un informācija par ex-post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 mazas (skaits 7484, īpatsvars 6,6%), vidējas (skaits 1041, īpatsvars 0,9%) un lielas (skaits 212, īpatsvars 0,2%) komercsabiedrības.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lielām,  mazām (izņemot mikrosabiedrībām) un vidējām sabiedrībām, kuru pārvedami vērtspapīri ir iekļauti regulētajā tirgū, būs pienākums sagatavot ilgtspējas ziņojumu vai konsolidēto ilgtspējas ziņojumu, kas iekļauts Vadības ziņojumā atsevišķā sadaļā un nodrošināt, ka tas ir publiski pieejams, ja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skar zvērinātus revidentus, kas sniedz privātajam pensiju fondam ilgtspējas ziņojuma apliecinājuma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finanšu instrumentu tirgus dalībniekam gatavot ilgtspējas ziņojumu, kas tiek regulēts un ieviests saskaņā ar Ilgtspējas informācijas atklāšanas likumu. Cilvēkresursu un finansiālo resursu ieguldījums ilgtspējas ziņojuma kārtības izstrādei katram finanšu instrumentu tirgus dalībniekam ir atšķirīgs, ņemot vērā tā darbības apjomu, iekšējās sistēmas tehniskos risinājumus u.tml., līdz ar to nav precīzi aprēķināms.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 mazas (skaits 7484, īpatsvars 6,6%), vidējas (skaits 1041, īpatsvars 0,9%) un lielas (skaits 212, īpatsvars 0,2%) komercsabiedrības.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nosaka prasību sabiedrībām sagatavot ilgtspējas ziņojumu, kas noteikts Ilgtspējas informācijas atklāšanas likumā. Cilvēkresursu un finansiālo resursu ieguldījums ilgtspējas ziņojuma kārtības izstrāde katrai sabiedrībai ir atšķirīga, ņemot vērā tā darbības apjomu, iekšējās sistēmas tehniskos risinājumus u.tml., līdz ar to nav precīzi aprēķināms.  Ilgtspējas informācijas atklāšanas likums ir pamatlikums ar kuru tiek pārņemtas Direktīvas 2022/2464/ES prasības un līdz ar to visas provizoriskās administratīvās izmaksas, kas uzņēmumiem radīsies saistībā ar ilgtspējas ziņojuma sagatavošanu ir norādītas likumprojektā "Ilgtspējas informācijas atklāšanas likums" (23-TA-3235).  Tādējādi, visos pakārtotajos likumprojektos, t.sk., grozījumos Privāto pensiju fondu likumā, netiek  norādīts administratīvo izmaksu monetārais novērtējums. Savukārt palielinot sabiedrību robežvērtību kritērijus, sabiedrībām papildu izmaksas nerodas, jo tā ir labvēlīga norma uzņēmumiem. Palielinoties sabiedrību robežvērtību kritērijiem, atbilstoši Komisijas deleģētās 2023. gada 21. decembra Direktīvai (ES) 2023/2775, ar ko Eiropas Parlamenta un Padomes Direktīvu 2013/34/ES groza attiecībā uz mikrouzņēmumu, mazo, vidējo un lielo uzņēmumu vai grupu lieluma kritēriju korekcijām  iespējams, samazināsies arī lielo uzņēmumu skaits, kam būs saistošas prasības sagatavot ilgtspējas ziņojumu.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saistībā ar mikrosabiedrību, mazo, vidējo un lielo komercsabiedrību robežvērtību kritēriju palielināšanu saskaņā ar Komisijas deleģētā 2023. gada 21. decembra Direktīvā (ES) 2023/2775, ar ko Eiropas Parlamenta un Padomes Direktīvu 2013/34/ES groza attiecībā uz mikrouzņēmumu, mazo, vidējo un lielo uzņēmumu vai grupu lieluma kritēriju korekcijām noteikto, izmaiņu veikšanai Valsts ieņēmumu dienesta informācijas sistēmās, ir norādīts likumprojektā "Grozījumi Gada pārskatu un konsolidēto gada pārskatu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Privāto pensiju fondu likumā par gada pārskatu sagatavošanu un iesniegšanu, t.sk., ilgtspējas ziņojuma iesniegšanu Valsts ieņēmumu dienestā, ir veikti saistībā ar  Direktīvas 2022/2464/ES ieviešanu. Lai ieviestu Direktīvas 2022/2464/ES prasības ir izstrādāts pamatlikums -   Ilgtspējas informācijas atklāšanas likums (23-TA-3235). Līdz ar to nepieciešamais finansējums, kas saistīts ar gada pārskatu, t.sk., ilgtspējas ziņojuma, sagatavošanu un iesniegšanu Valsts ieņēmumu dienestā, netiek norādīts pamatlikumam pakārtotajos likumos, t.sk, grozījumos Privāto pensiju likumā, bet ir norādīts likumprojekta “Ilgtspējas informācijas atklāšanas likums" 3. 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nepieciešamais finansējums saistībā ar gada pārskatu iesniegšanu Valsts ieņēmumu dienestā, sākot no 2027.pārskata gada, ir norādīts Ilgtspējas informācijas atklāšanas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"Ilgtspējas informācijas atklāšanas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Apdrošināšanas un pārapdrošināšanas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Grāmatvedības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Gada pārskatu un konsolidēto gada pārskatu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Gada pārskatu un konsolidēto gada pārskatu likumā" (23-TA-3181)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Revīzijas pakalpojumu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Revīzijas pakalpojumu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Kredītiestāžu likumā" (23-TA-3307).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Publiskas personas kapitāla daļu un kapitālsabiedrību pārvaldības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paredz noteikumus attiecībā uz ilgtspējas ziņojuma un konsolidētā ilgtspējas ziņojuma (ja ir pienākums tādu sagatavot) sagatavošanu un ilgtspējas ziņojuma un konsolidētā ilgtspējas ziņojuma (ja ir pienākums tādu sagatavot)  apliecinājuma veikšanu un to veicēju kompetenci un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19a.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Privāto pensiju fondu likuma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29.d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Privāto pensiju fondu likuma 1.  panta pirmā daļa 32. punkts un 36.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Privāto pensiju fondu likuma 36. panta 1.</w:t>
            </w:r>
            <w:r w:rsidR="00000000" w:rsidRPr="00000000" w:rsidDel="00000000">
              <w:rPr>
                <w:sz w:val="24"/>
                <w:vertAlign w:val="superscript"/>
                <w:rtl w:val="0"/>
              </w:rPr>
              <w:t xml:space="preserve">2</w:t>
            </w:r>
            <w:r w:rsidR="00000000" w:rsidRPr="00000000" w:rsidDel="00000000">
              <w:rPr>
                <w:sz w:val="24"/>
                <w:rtl w:val="0"/>
              </w:rPr>
              <w:t xml:space="preserve"> , 1.</w:t>
            </w:r>
            <w:r w:rsidR="00000000" w:rsidRPr="00000000" w:rsidDel="00000000">
              <w:rPr>
                <w:sz w:val="24"/>
                <w:vertAlign w:val="superscript"/>
                <w:rtl w:val="0"/>
              </w:rPr>
              <w:t xml:space="preserve">3</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40.d. panta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iekļautā Privāto pensiju fondu likumā 36. panta otrā,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Latvijas Zvērinātu revidentu asociācija, Latvijas Republikas Grāmatvežu asociācija, Latvijas Republikas Ārpakalpojuma Grāmatvežu Asociācija, Latvijas Korporatīvās sociālās atbildības platforma, Akciju sabiedrība “Swedbank”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un ir konceptuāli saskaņots darba grupā, kas izveidota ar Finanšu ministrijas 2023.gada 16.februāra rīkojumu Nr.42, lai izstrādātu likumprojektu "Grozījumi Privāto pensiju fondu likumā" Direktīvas 2022/2464 pārņemšanai. Likumprojekta izstrādes gaitā darba grupas sēdēs iesaistīti Valsts ieņēmumu dienesta, Tieslietu ministrijas, Valsts kancelejas, Latvijas Republikas Grāmatvežu asociācijas, Latvijas Zvērinātu revidentu asociācijas, Latvijas Republikas Ārpakalpojuma Grāmatvežu Asociācijas, Latvijas Finanšu nozares asociācijas, Latvijas Korporatīvās sociālās atbildības platformas, Latvijas Bankas un akciju sabiedrības “Swedbank” pārstāvji, kas izvērtēja visas spēkā esošās Direktīvas 2022/2464 normas un darba grupas sēdēs vai elektroniskā viedokļu saskaņošanā pauda viedokli par likumprojektā iekļaujamo regulējumu. Darba grupā tika panākta vienošanās par visiem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likuma stāšanās spēkā Finanšu ministrijas pārstāvji sniegs skaidrojumus publiskajā telpā dažāda formāta pasākumos, kā arī presē un medijos.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savus pienākumus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personas datu apstrādes jautājumus neskar.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23-TA-3310</w:t>
    </w:r>
    <w:r>
      <w:br/>
    </w:r>
    <w:r w:rsidR="00000000" w:rsidRPr="00000000" w:rsidDel="00000000">
      <w:rPr>
        <w:rtl w:val="0"/>
      </w:rPr>
      <w:t xml:space="preserve">Izdrukāts 30.07.2026. 00.24 - 3.0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23-TA-3310</w:t>
    </w:r>
    <w:r>
      <w:br/>
    </w:r>
    <w:r w:rsidR="00000000" w:rsidRPr="00000000" w:rsidDel="00000000">
      <w:rPr>
        <w:rtl w:val="0"/>
      </w:rPr>
      <w:t xml:space="preserve">Izdrukāts 30.07.2026. 00.24 - 3.0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anotācija_(ex_ante)_23-TA-3310.docx</dc:title>
</cp:coreProperties>
</file>

<file path=docProps/custom.xml><?xml version="1.0" encoding="utf-8"?>
<Properties xmlns="http://schemas.openxmlformats.org/officeDocument/2006/custom-properties" xmlns:vt="http://schemas.openxmlformats.org/officeDocument/2006/docPropsVTypes"/>
</file>