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februāra noteikumos Nr. 76 "Augļu koku un ogulāju pavairošanas materiāla atbilstības kritēriju un aprites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stājusies Komisijas Īstenošanas 2022.gada 12.decembra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 (turpmāk -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direktīvas prasības, papildinot noteikumus ar Savienības reglamentēto nekarantīnas organismu </w:t>
      </w:r>
      <w:r w:rsidR="00000000" w:rsidRPr="00000000" w:rsidDel="00000000">
        <w:rPr>
          <w:i w:val="1"/>
          <w:rtl w:val="0"/>
        </w:rPr>
        <w:t xml:space="preserve">Phytophthora ramorum</w:t>
      </w:r>
      <w:r w:rsidR="00000000" w:rsidRPr="00000000" w:rsidDel="00000000">
        <w:rPr>
          <w:rtl w:val="0"/>
        </w:rPr>
        <w:t xml:space="preserve"> (izolāti, kas sastopami ES) Werres, De Cock &amp; Man in‘t Veld, nosakot arī riska pārvaldības pasākumus šim organismam, svītrot no noteikumiem - </w:t>
      </w:r>
      <w:r w:rsidR="00000000" w:rsidRPr="00000000" w:rsidDel="00000000">
        <w:rPr>
          <w:i w:val="1"/>
          <w:rtl w:val="0"/>
        </w:rPr>
        <w:t xml:space="preserve">Candidatus Phytoplasma australiense</w:t>
      </w:r>
      <w:r w:rsidR="00000000" w:rsidRPr="00000000" w:rsidDel="00000000">
        <w:rPr>
          <w:rtl w:val="0"/>
        </w:rPr>
        <w:t xml:space="preserve"> Davis et al., jo šis organisms iekļauts karantīnas organismu sarakstā, un pārskatīt riska pārvaldības pasākumus pret kaitīgajiem organismiem </w:t>
      </w:r>
      <w:r w:rsidR="00000000" w:rsidRPr="00000000" w:rsidDel="00000000">
        <w:rPr>
          <w:i w:val="1"/>
          <w:rtl w:val="0"/>
        </w:rPr>
        <w:t xml:space="preserve">Candidatus Phytoplasma pyri</w:t>
      </w:r>
      <w:r w:rsidR="00000000" w:rsidRPr="00000000" w:rsidDel="00000000">
        <w:rPr>
          <w:rtl w:val="0"/>
        </w:rPr>
        <w:t xml:space="preserve"> Seemüller &amp; Schneider un </w:t>
      </w:r>
      <w:r w:rsidR="00000000" w:rsidRPr="00000000" w:rsidDel="00000000">
        <w:rPr>
          <w:i w:val="1"/>
          <w:rtl w:val="0"/>
        </w:rPr>
        <w:t xml:space="preserve">Candidatus</w:t>
      </w:r>
      <w:r w:rsidR="00000000" w:rsidRPr="00000000" w:rsidDel="00000000">
        <w:rPr>
          <w:rtl w:val="0"/>
        </w:rPr>
        <w:t xml:space="preserve"> Phytoplasma </w:t>
      </w:r>
      <w:r w:rsidR="00000000" w:rsidRPr="00000000" w:rsidDel="00000000">
        <w:rPr>
          <w:i w:val="1"/>
          <w:rtl w:val="0"/>
        </w:rPr>
        <w:t xml:space="preserve">mali</w:t>
      </w:r>
      <w:r w:rsidR="00000000" w:rsidRPr="00000000" w:rsidDel="00000000">
        <w:rPr>
          <w:rtl w:val="0"/>
        </w:rPr>
        <w:t xml:space="preserve"> Seemüller &amp; Schneider.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2017. gada 7. februāra noteikumi Nr. 76 "Augļu koku un ogulāju pavairošanas materiāla atbilstības kritēriju un aprites noteikumi"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noteikts Savienības reglamentēto nekarantīnas organismu (turpmāk - RNKO) saraksts un prasības, kas jāievēro, lai materiāls netiktu inficēts vai invadēts ar šiem RNKO.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stājusies direktīva, kas maina kaitīgo organismu sarakstu un riska pārvaldības pasākumus saistībā ar kaitīgajiem organismiem. Noteikumus nepieciešams papildināt ar prasībām attiecībā uz ražošanas vietas daļu, ražošanas vietu vai apgabalu attiecīgām pavairojamā materiāla sugām.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direktīvā noteiktās prasības, ir jāsagatavo Ministru kabineta noteikumu projekts “Grozījumi Ministru kabineta 2017. gada 7. februāra noteikumos Nr. 76 "Augļu koku un ogulāju pavairošanas materiāla atbilstības kritēriju un aprites noteikumi"”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RNKO</w:t>
      </w:r>
      <w:r w:rsidR="00000000" w:rsidRPr="00000000" w:rsidDel="00000000">
        <w:rPr>
          <w:i w:val="1"/>
          <w:rtl w:val="0"/>
        </w:rPr>
        <w:t xml:space="preserve"> Phytophthora ramorum</w:t>
      </w:r>
      <w:r w:rsidR="00000000" w:rsidRPr="00000000" w:rsidDel="00000000">
        <w:rPr>
          <w:rtl w:val="0"/>
        </w:rPr>
        <w:t xml:space="preserve"> (izolāti, kas sastopami ES) Werres, De Cock &amp; Man in ‘t Veld ir iekļauts Komisijas Īstenošanas 2019. gada 28. novembra regulas (ES) 2019/2072, ar ko paredz vienotus nosacījumus Eiropas Parlamenta un Padomes Regulas (ES) 2016/2031 par aizsardzības pasākumiem pret augiem kaitīgajiem organismiem īstenošanai, atceļ Komisijas Regulu (EK) Nr. 690/2008 un groza Komisijas Īstenošanas regulu (ES) 2018/2019 (turpmāk - regula 2019/2072), IV pielikuma J daļā, jo tas atbilst kritērijiem, pēc kuriem notiek iekļaušana RNKO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 kaitīgo organismu iekļauj Komisijas Īstenošanas 2014. gada 15. oktobra direktīvas 2014/98/ES, ar ko īsteno Padomes Direktīvu 2008/90/EK attiecībā uz konkrētām prasībām, kuras noteiktas tās I pielikumā minētajām augļaugu ģintīm un sugām, konkrētām prasībām, kas jāievēro piegādātājiem, un sīki izstrādātiem noteikumiem par oficiālajām pārbaudēm (turpmāk - direktīva 2014/98/ES), II pielikumā, kā arī attiecīgās prasības šim RNKO jāpārņem noteikumos. Nepieciešams arī iekļaut riska pārvaldības pasākumus pret </w:t>
      </w:r>
      <w:r w:rsidR="00000000" w:rsidRPr="00000000" w:rsidDel="00000000">
        <w:rPr>
          <w:i w:val="1"/>
          <w:rtl w:val="0"/>
        </w:rPr>
        <w:t xml:space="preserve">Phytophthora ramorum </w:t>
      </w:r>
      <w:r w:rsidR="00000000" w:rsidRPr="00000000" w:rsidDel="00000000">
        <w:rPr>
          <w:rtl w:val="0"/>
        </w:rPr>
        <w:t xml:space="preserve">(izolāti, kas sastopami ES) uz noteiktiem stādīšanai paredzētiem augiem, kuri tiek izmantoti par augļaugu pavairošanas materiālu, kā arī uz augļu ražošanai paredzētiem augļaugiem.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grozīts noteikumu 2. un 5. pielikums (noteikumu projekta 12. un 13. punkts) un papildināts RNKO saraksts ar </w:t>
      </w:r>
      <w:r w:rsidR="00000000" w:rsidRPr="00000000" w:rsidDel="00000000">
        <w:rPr>
          <w:i w:val="1"/>
          <w:rtl w:val="0"/>
        </w:rPr>
        <w:t xml:space="preserve">Phytophthora ramorum</w:t>
      </w:r>
      <w:r w:rsidR="00000000" w:rsidRPr="00000000" w:rsidDel="00000000">
        <w:rPr>
          <w:rtl w:val="0"/>
        </w:rPr>
        <w:t xml:space="preserve"> (izolāti, kas sastopami ES) šādiem saimniekaugiem - </w:t>
      </w:r>
      <w:r w:rsidR="00000000" w:rsidRPr="00000000" w:rsidDel="00000000">
        <w:rPr>
          <w:i w:val="1"/>
          <w:rtl w:val="0"/>
        </w:rPr>
        <w:t xml:space="preserve">Castanea sativa</w:t>
      </w:r>
      <w:r w:rsidR="00000000" w:rsidRPr="00000000" w:rsidDel="00000000">
        <w:rPr>
          <w:rtl w:val="0"/>
        </w:rPr>
        <w:t xml:space="preserve"> Mill. un </w:t>
      </w:r>
      <w:r w:rsidR="00000000" w:rsidRPr="00000000" w:rsidDel="00000000">
        <w:rPr>
          <w:i w:val="1"/>
          <w:rtl w:val="0"/>
        </w:rPr>
        <w:t xml:space="preserve">Vaccinium</w:t>
      </w:r>
      <w:r w:rsidR="00000000" w:rsidRPr="00000000" w:rsidDel="00000000">
        <w:rPr>
          <w:rtl w:val="0"/>
        </w:rPr>
        <w:t xml:space="preserve"> L., kā arī papildinātas prasības riska pārvaldības pasākumiem pret RNKO.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mainīts parastās mandeles </w:t>
      </w:r>
      <w:r w:rsidR="00000000" w:rsidRPr="00000000" w:rsidDel="00000000">
        <w:rPr>
          <w:i w:val="1"/>
          <w:rtl w:val="0"/>
        </w:rPr>
        <w:t xml:space="preserve">Prunus amygdalus</w:t>
      </w:r>
      <w:r w:rsidR="00000000" w:rsidRPr="00000000" w:rsidDel="00000000">
        <w:rPr>
          <w:rtl w:val="0"/>
        </w:rPr>
        <w:t xml:space="preserve"> Batsch botāniskais nosaukums. Tas ir jāaizstāj ar </w:t>
      </w:r>
      <w:r w:rsidR="00000000" w:rsidRPr="00000000" w:rsidDel="00000000">
        <w:rPr>
          <w:i w:val="1"/>
          <w:rtl w:val="0"/>
        </w:rPr>
        <w:t xml:space="preserve">Prunus dulcis</w:t>
      </w:r>
      <w:r w:rsidR="00000000" w:rsidRPr="00000000" w:rsidDel="00000000">
        <w:rPr>
          <w:rtl w:val="0"/>
        </w:rPr>
        <w:t xml:space="preserve"> (Mill.) D. A. Webb, ņemot vērā taksonomijas nomenklatūras atjauninājumus.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noteikumu 1., 2., 5. un 6. pielikums (noteikumu projekta 11., 12., 13. un 14.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2014/98/ES nosaka, ka telpu, lauku un partiju vizuālajā pārbaudē jākonstatē, ka pirmsbāzes, bāzes, sertificēts un standarta materiāls ir brīvs no RNKO, kas norādīti minētās direktīvas I un II pielikumā, un uz konkrēto ģinti vai sugu tiek attiecinātas IV pielikuma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attiecībā uz apgabaliem, kas saskaņā ar attiecīgo fitosanitāro pasākumu starptautisko standartu (</w:t>
      </w:r>
      <w:r w:rsidR="00000000" w:rsidRPr="00000000" w:rsidDel="00000000">
        <w:rPr>
          <w:i w:val="1"/>
          <w:rtl w:val="0"/>
        </w:rPr>
        <w:t xml:space="preserve">Requirements for the establishment of pest free areas. ISPM No 4 (1995), Rome, IPPC, FAO 2017</w:t>
      </w:r>
      <w:r w:rsidR="00000000" w:rsidRPr="00000000" w:rsidDel="00000000">
        <w:rPr>
          <w:rtl w:val="0"/>
        </w:rPr>
        <w:t xml:space="preserve">) ir atzīti par brīviem no attiecīgajiem kaitīgajiem organismiem brīvi, nodrošinātu saskaņu ar regulu (ES) 2019/2072, direktīvā 2014/98/ES iestrādāta atkāpe no prasības vizuāli pārbaudīt, ņemt paraugus un testēt pirmsbāzes, bāzes, sertificēto un standarta materiālu.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(turpmāk - dienests) nav atzinis nevienu Latvijas teritoriju par brīvu attiecībā uz kādu no kaitīgajiem organismiem.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Atkāpes no prasībām tiek iekļautas noteikumos, lai nodrošinātu iespēju, ka tiklīdz dienests, saskaņā ar fitosanitāro pasākumu starptautiskajiem standartiem atzīs kādu teritoriju par brīvu no attiecīgajiem kaitīgajiem organismiem, šo izņēmumu varētu piemērot.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izņēmumu no prasībām, ka nav nepieciešams veikt augu veselības pārbaudes, ja dienests ir atzinis, ka šī teritorija ir brīva no attiecīgā kaitīgā organisma. Grozīti noteikumu 16.3., 21.4., 22.3., 23.4., 42.2.4., 51.4., 57.3., 59.2. apakšpunkti un 61. punkts (noteikumu projekta 1. - 9.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direktīvas 2014/98/ES pieņemšanas dalībvalstu pieredze liecina, ka ar attiecīgo fitosanitāro risku nesamērīgi ir </w:t>
      </w:r>
      <w:r w:rsidR="00000000" w:rsidRPr="00000000" w:rsidDel="00000000">
        <w:rPr>
          <w:i w:val="1"/>
          <w:rtl w:val="0"/>
        </w:rPr>
        <w:t xml:space="preserve">Candidatus</w:t>
      </w:r>
      <w:r w:rsidR="00000000" w:rsidRPr="00000000" w:rsidDel="00000000">
        <w:rPr>
          <w:rtl w:val="0"/>
        </w:rPr>
        <w:t xml:space="preserve"> Phytoplasma </w:t>
      </w:r>
      <w:r w:rsidR="00000000" w:rsidRPr="00000000" w:rsidDel="00000000">
        <w:rPr>
          <w:i w:val="1"/>
          <w:rtl w:val="0"/>
        </w:rPr>
        <w:t xml:space="preserve">pyri </w:t>
      </w:r>
      <w:r w:rsidR="00000000" w:rsidRPr="00000000" w:rsidDel="00000000">
        <w:rPr>
          <w:rtl w:val="0"/>
        </w:rPr>
        <w:t xml:space="preserve">Seemüller &amp; Schneider un </w:t>
      </w:r>
      <w:r w:rsidR="00000000" w:rsidRPr="00000000" w:rsidDel="00000000">
        <w:rPr>
          <w:i w:val="1"/>
          <w:rtl w:val="0"/>
        </w:rPr>
        <w:t xml:space="preserve">Candidatus</w:t>
      </w:r>
      <w:r w:rsidR="00000000" w:rsidRPr="00000000" w:rsidDel="00000000">
        <w:rPr>
          <w:rtl w:val="0"/>
        </w:rPr>
        <w:t xml:space="preserve"> Phytoplasma </w:t>
      </w:r>
      <w:r w:rsidR="00000000" w:rsidRPr="00000000" w:rsidDel="00000000">
        <w:rPr>
          <w:i w:val="1"/>
          <w:rtl w:val="0"/>
        </w:rPr>
        <w:t xml:space="preserve">mali</w:t>
      </w:r>
      <w:r w:rsidR="00000000" w:rsidRPr="00000000" w:rsidDel="00000000">
        <w:rPr>
          <w:rtl w:val="0"/>
        </w:rPr>
        <w:t xml:space="preserve"> Seemüller &amp; Schneider pasākumi, lai novērstu kaitīgā organisma izplatīšanos, ar kuriem nosaka, kad ražošanas vietas daļā pavairošanas materiālam un augļaugiem tiek konstatēti simptomi, visa augļaugu pavairošanas materiāla un augļaugu partija tiek atzīta par tirdzniecībai nederīgu.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2014/98/ES ir grozīta, lai nodrošinātu saskaņu ar regulā 2019/2072 minētajiem pārskatītajiem riska pārvaldības pasākumiem, kas vērsti pret</w:t>
      </w:r>
      <w:r w:rsidR="00000000" w:rsidRPr="00000000" w:rsidDel="00000000">
        <w:rPr>
          <w:i w:val="1"/>
          <w:rtl w:val="0"/>
        </w:rPr>
        <w:t xml:space="preserve"> Candidatus</w:t>
      </w:r>
      <w:r w:rsidR="00000000" w:rsidRPr="00000000" w:rsidDel="00000000">
        <w:rPr>
          <w:rtl w:val="0"/>
        </w:rPr>
        <w:t xml:space="preserve"> Phytoplasma </w:t>
      </w:r>
      <w:r w:rsidR="00000000" w:rsidRPr="00000000" w:rsidDel="00000000">
        <w:rPr>
          <w:i w:val="1"/>
          <w:rtl w:val="0"/>
        </w:rPr>
        <w:t xml:space="preserve">pyri </w:t>
      </w:r>
      <w:r w:rsidR="00000000" w:rsidRPr="00000000" w:rsidDel="00000000">
        <w:rPr>
          <w:rtl w:val="0"/>
        </w:rPr>
        <w:t xml:space="preserve">un</w:t>
      </w:r>
      <w:r w:rsidR="00000000" w:rsidRPr="00000000" w:rsidDel="00000000">
        <w:rPr>
          <w:i w:val="1"/>
          <w:rtl w:val="0"/>
        </w:rPr>
        <w:t xml:space="preserve"> Candidatus</w:t>
      </w:r>
      <w:r w:rsidR="00000000" w:rsidRPr="00000000" w:rsidDel="00000000">
        <w:rPr>
          <w:rtl w:val="0"/>
        </w:rPr>
        <w:t xml:space="preserve"> Phytoplasma </w:t>
      </w:r>
      <w:r w:rsidR="00000000" w:rsidRPr="00000000" w:rsidDel="00000000">
        <w:rPr>
          <w:i w:val="1"/>
          <w:rtl w:val="0"/>
        </w:rPr>
        <w:t xml:space="preserve">mali</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papildināts 5.pielikums (noteikumu projekta 13. punkts) ar augu veselības prasībām Pyrus L. sadaļa attiecībā uz </w:t>
      </w:r>
      <w:r w:rsidR="00000000" w:rsidRPr="00000000" w:rsidDel="00000000">
        <w:rPr>
          <w:i w:val="1"/>
          <w:rtl w:val="0"/>
        </w:rPr>
        <w:t xml:space="preserve">Candidatus</w:t>
      </w:r>
      <w:r w:rsidR="00000000" w:rsidRPr="00000000" w:rsidDel="00000000">
        <w:rPr>
          <w:rtl w:val="0"/>
        </w:rPr>
        <w:t xml:space="preserve"> Phytoplasma </w:t>
      </w:r>
      <w:r w:rsidR="00000000" w:rsidRPr="00000000" w:rsidDel="00000000">
        <w:rPr>
          <w:i w:val="1"/>
          <w:rtl w:val="0"/>
        </w:rPr>
        <w:t xml:space="preserve">pyri un Malus </w:t>
      </w:r>
      <w:r w:rsidR="00000000" w:rsidRPr="00000000" w:rsidDel="00000000">
        <w:rPr>
          <w:rtl w:val="0"/>
        </w:rPr>
        <w:t xml:space="preserve">Mill. sadaļa attiecībā uz</w:t>
      </w:r>
      <w:r w:rsidR="00000000" w:rsidRPr="00000000" w:rsidDel="00000000">
        <w:rPr>
          <w:i w:val="1"/>
          <w:rtl w:val="0"/>
        </w:rPr>
        <w:t xml:space="preserve"> Candidatus</w:t>
      </w:r>
      <w:r w:rsidR="00000000" w:rsidRPr="00000000" w:rsidDel="00000000">
        <w:rPr>
          <w:rtl w:val="0"/>
        </w:rPr>
        <w:t xml:space="preserve"> Phytoplasma </w:t>
      </w:r>
      <w:r w:rsidR="00000000" w:rsidRPr="00000000" w:rsidDel="00000000">
        <w:rPr>
          <w:i w:val="1"/>
          <w:rtl w:val="0"/>
        </w:rPr>
        <w:t xml:space="preserve">mali.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2014/98/ES 32. pantu dalībvalstīm līdz 2022. gada 31. decembrim bija atļauts savā teritorijā tirgot tādu pavairošanas materiālu un augļaugus, kas ražoti no pirmsbāzes, bāzes un sertificētajiem mātesaugiem vai sertificēta materiāla, kuri pastāvēja pirms 2017. gada 1. janvāra, un tas attiecas arī uz tādu materiālu vai augļaugiem, kuri neatbilst minētās īstenošanas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Pieredze, ko dalībvalstis guvušas, īstenojot tiesību aktus, liecina, ka Savienības pavairošanas materiāla un augļaugu sertifikācijas sistēma neaptver sēklu un sējeņu sertifikāciju. Tāpēc paredzēts pārejas pasākumus turpināt piemērot tikai sēklu un sējeņu ražošanai, jo šo materiālu pielāgošanai minētās direktīvas prasībām vajadzīgs ilgāks laiks. Lai novērstu šo materiālu tirdzniecības traucējumus, minētais termiņš tiek pagarināts līdz 2029.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netiek pārņemta, jo Latvijā ražo tikai standarta materiālu un prasības standarta materiāla tirdzniecībai nav mainījušās kopš spēkā stājās direktīva 2014/98/ES un izmaiņas neparedz arī šī direktīva, līdz ar to nav nepieciešams paredzēt pārejas periodu materiāla tirdzniecībai. Kā arī direktīvas 2014/98/ES 32.pants, kas tiek grozīts ar direktīvu, dalībvalstīm paredz iespēju izlemt vai šīs prasības ieviest savos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2017. gada 29. maija lēmums (ES) 2017/925, ar ko uz laiku atļauj dažām dalībvalstīm sertificēt konkrētu augļaugu sugu pirmsbāzes materiālu, kas ražots laukā, kur nav nodrošināta aizsardzība pret kukaiņiem, un atceļ Īstenošanas lēmumu (ES) 2017/167, noteiktām dalībvalstīm uz laiku atļāva sertificēt noteiktu augļaugu sugu pirmsbāzes materiālu, kas ražots laukā, kurā nav nodrošināta aizsardzība pret kukaiņiem.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atļaujas derīguma termiņš beidzās 2018. gada 31. decembrī. Tāpēc, lai atspoguļotu minētās atļaujas derīguma termiņa beigšanos attiecībā uz </w:t>
      </w:r>
      <w:r w:rsidR="00000000" w:rsidRPr="00000000" w:rsidDel="00000000">
        <w:rPr>
          <w:i w:val="1"/>
          <w:rtl w:val="0"/>
        </w:rPr>
        <w:t xml:space="preserve">Cydonia oblonga</w:t>
      </w:r>
      <w:r w:rsidR="00000000" w:rsidRPr="00000000" w:rsidDel="00000000">
        <w:rPr>
          <w:rtl w:val="0"/>
        </w:rPr>
        <w:t xml:space="preserve"> Mill. pirmsbāzes materiālu, svītro direktīvas 2014/98/ES IV pielikuma 4. iedaļas daļu “Prasības ražošanas vietas daļai, ražošanas vietai vai apgabalam”, kas nosaka prasības pavairojamajam materiālam, kas ražots laukā, kurā nav nodrošināta aizsardzība pret kukaiņiem. Prasības tiek svītrotas pret kaitīgo organismu </w:t>
      </w:r>
      <w:r w:rsidR="00000000" w:rsidRPr="00000000" w:rsidDel="00000000">
        <w:rPr>
          <w:i w:val="1"/>
          <w:rtl w:val="0"/>
        </w:rPr>
        <w:t xml:space="preserve">Erwinia amylovora</w:t>
      </w:r>
      <w:r w:rsidR="00000000" w:rsidRPr="00000000" w:rsidDel="00000000">
        <w:rPr>
          <w:rtl w:val="0"/>
        </w:rPr>
        <w:t xml:space="preserve"> (Burrill) Winslow et al.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ietverts kaitīgais organisms </w:t>
      </w:r>
      <w:r w:rsidR="00000000" w:rsidRPr="00000000" w:rsidDel="00000000">
        <w:rPr>
          <w:i w:val="1"/>
          <w:rtl w:val="0"/>
        </w:rPr>
        <w:t xml:space="preserve">Erwinia amylovora </w:t>
      </w:r>
      <w:r w:rsidR="00000000" w:rsidRPr="00000000" w:rsidDel="00000000">
        <w:rPr>
          <w:rtl w:val="0"/>
        </w:rPr>
        <w:t xml:space="preserve">(Burrill), jo tas Latvijā ir noteikts kā aizsargājamās zonas karantīnas organisms, uz kuru tieši attiecas Regulas 2019/2072 prasības, līdz ar to nav nepieciešams svītrot </w:t>
      </w:r>
      <w:r w:rsidR="00000000" w:rsidRPr="00000000" w:rsidDel="00000000">
        <w:rPr>
          <w:i w:val="1"/>
          <w:rtl w:val="0"/>
        </w:rPr>
        <w:t xml:space="preserve">Cydonia oblonga</w:t>
      </w:r>
      <w:r w:rsidR="00000000" w:rsidRPr="00000000" w:rsidDel="00000000">
        <w:rPr>
          <w:rtl w:val="0"/>
        </w:rPr>
        <w:t xml:space="preserve"> Mill. pirmsbāzes materiāla prasības no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Candidatus</w:t>
      </w:r>
      <w:r w:rsidR="00000000" w:rsidRPr="00000000" w:rsidDel="00000000">
        <w:rPr>
          <w:rtl w:val="0"/>
        </w:rPr>
        <w:t xml:space="preserve"> Phytoplasma </w:t>
      </w:r>
      <w:r w:rsidR="00000000" w:rsidRPr="00000000" w:rsidDel="00000000">
        <w:rPr>
          <w:i w:val="1"/>
          <w:rtl w:val="0"/>
        </w:rPr>
        <w:t xml:space="preserve">australiense</w:t>
      </w:r>
      <w:r w:rsidR="00000000" w:rsidRPr="00000000" w:rsidDel="00000000">
        <w:rPr>
          <w:rtl w:val="0"/>
        </w:rPr>
        <w:t xml:space="preserve"> Davis et al. ir iekļauts regulas 2019/2072 II pielikuma Savienības karantīnas organismu sarakstā un ir svītrots no regulas 2019/2072 IV pielikuma RNKO saraksta. Šo RNKO svītro arī no direktīvas 2014/98/ES I pielikuma RNKO saraksta un no minētās direktīvas IV pielikuma. Tāpēc kaitīgais organisms un pasākumi, kas attiecas uz RNKO, tiek svītroti no </w:t>
      </w:r>
      <w:r w:rsidR="00000000" w:rsidRPr="00000000" w:rsidDel="00000000">
        <w:rPr>
          <w:i w:val="1"/>
          <w:rtl w:val="0"/>
        </w:rPr>
        <w:t xml:space="preserve">Fragaria</w:t>
      </w:r>
      <w:r w:rsidR="00000000" w:rsidRPr="00000000" w:rsidDel="00000000">
        <w:rPr>
          <w:rtl w:val="0"/>
        </w:rPr>
        <w:t xml:space="preserve"> L. ražošanai paredzētiem augļaugu uzraudzības nosacījumiem.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veikti noteikumu 2. un 5. pielikumā (noteikumu projekta 12. un 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augļu koku un ogulāju pavairojamā materiāla audzētājiem un tirgotājiem, kas reģistrēti Kultūraugu uzraudzības valsts informācijas sistēmas profesionālo operatoru oficiālajā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augļu koku un ogulāju pavairojamā materiāla audzētājiem un tirgotājiem, kas reģistrēti Kultūraugu uzraudzības valsts informācijas sistēmas profesionālo operatoru oficiālajā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20. janvāra noteikumi Nr. 54 "Dekoratīvo augu pavairojamā materiāla atbilstības kritēriji un aprites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pārņemt direktīvā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2022.gada 12.decembra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2022.gada 12.decembra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2009. gada 20. janvāra noteikumiem Nr. 54 "Dekoratīvo augu pavairojamā materiāla atbilstības kritēriji un aprites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8.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Latvijā ražo tikai standarta materiālu un prasības standarta materiāla tirdzniecībai nav mainījušās un izmaiņas neparedz arī šī direktīva, līdz ar to nav nepieciešams paredzēt pārejas periodu sēklu un sējeņu stādāmā materiāla tirdzniecībai.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13. un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dalībvalstu direktīvas prasību pārņemšanas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dalībvalstu direktīvas prasību pārņemšanas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2009. gada 20. janvāra noteikumiem Nr. 54 "Dekoratīvo augu pavairojamā materiāla atbilstības kritēriji un aprites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2009. gada 20. janvāra noteikumiem Nr. 54 "Dekoratīvo augu pavairojamā materiāla atbilstības kritēriji un aprites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Šīs prasības jau šobrīd noteikumos nav iekļautas.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3.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12., 13. un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5.pants netiek pārņemts, jo Latvijā ražo tikai standarta materiālu un prasības standarta materiāla tirdzniecībai nav mainījušās kopš spēkā stājusies Direktīva 2014/98/ES, un izmaiņas neparedz arī šī direktīva, līdz ar to nav nepieciešams paredzēt pārejas periodu materiāla tirdzniecībai.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2014/98/ES 32.pants nosaka rīcības brīvību, ka dalībvalsts var izlemt vai savā teritorijā laist tirgū pavairojamo materiālu, kas neatbilst šīs pašas direktīvas noteiktajām kvalitātes un augu veselības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Stādu audzētāju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Veicot augļu koku un ogulāju pavairojamo materiālu uzraudzību, būs jāpievērš uzmanība jaunu RNKO izpausmju vizuālam novērtējumam uz augiem.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22-TA-3286</w:t>
    </w:r>
    <w:r>
      <w:br/>
    </w:r>
    <w:r w:rsidR="00000000" w:rsidRPr="00000000" w:rsidDel="00000000">
      <w:rPr>
        <w:rtl w:val="0"/>
      </w:rPr>
      <w:t xml:space="preserve">Izdrukāts 29.07.2026. 21.38 - 1.0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22-TA-3286</w:t>
    </w:r>
    <w:r>
      <w:br/>
    </w:r>
    <w:r w:rsidR="00000000" w:rsidRPr="00000000" w:rsidDel="00000000">
      <w:rPr>
        <w:rtl w:val="0"/>
      </w:rPr>
      <w:t xml:space="preserve">Izdrukāts 29.07.2026. 21.38 - 1.0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anotācija_(ex_ante)_22-TA-3286.docx</dc:title>
</cp:coreProperties>
</file>

<file path=docProps/custom.xml><?xml version="1.0" encoding="utf-8"?>
<Properties xmlns="http://schemas.openxmlformats.org/officeDocument/2006/custom-properties" xmlns:vt="http://schemas.openxmlformats.org/officeDocument/2006/docPropsVTypes"/>
</file>