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tehniskajām un organizatoriskajām prasībām publiskām personām, sniedzot elektronisko pakalpojumu"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19. septembra noteikumi Nr. 561 “Noteikumi par elektroniskā pakalpojuma sniedzēja tehniskajām un organizatoriskajām prasībām” zaudējuši spēku sakarā ar Fizisko personu elektroniskās identifikācijas likuma deleģējuma normas izmaiņām, tādēļ nepieciešams izdot jaunus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tehniskās un organizatoriskās prasības un konkretizēt tiesiskās attiecības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elektronisko pakalpojuma sniedzējiem un identifikācijas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elektronisko pakalpojuma sniedzējiem un fiziskajām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19. septembra noteikumi Nr. 561 “Noteikumi par elektroniskā pakalpojuma sniedzēja tehniskajām un organizatoriskajām prasībām” zaudējuši spēku sakarā ar Fizisko personu elektroniskās identifikācijas likuma (turpmāk – FPEIL) deleģējuma normas izmaiņām. Ņemot vērā, ka FPEIL šobrīd attiecas arī uz privātajiem elektronisko pakalpojumu sniedzējiem, bet Ministru kabineta noteikumu prasības paredzēts attiecināt tikai uz elektroniskā pakalpojumu sniedzēja, ko publiska persona sniedz, pildot tai noteiktās funkcijas un uzdevumus (turpmāk - publiskā elektroniskā pakalpojuma sniedzējs), sniegtajiem pakalpojumiem, ir jāveic attiecīgi tehniski grozījumi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normatīvi reglamentēt tehniskās un organizatoriskās prasības, kuras publiskā elektroniskā pakalpojuma sniedzējam, saņemot kvalificētu vai kvalificētu paaugstinātas drošības elektroniskās identifikācijas pakalpojumu, ir pienākums ievērot, sniedzot publisko elektronisko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projektu tiek saglabātas iepriekš spēkā esošajos noteikumos definētās tiesiskās attiecības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elektronisko pakalpojuma sniedzējiem un identifikācijas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elektronisko pakalpojuma sniedzējiem un fiziskajām personām (fiziskā persona tiks informēta, kā tiek regulētas attiecības starp elektronisko pakalpojuma sniedzēju un identifikācijas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elektronisko pakalpojumu sniedzēju tehniskās arhitektūras mēdz atšķirties un ne vienmēr ir iespējams izpildīt projektā noteiktās prasības, tad attiecīgie punkti tiek precizēti, nosakot to attiecināmību, gadījumā, ja tehnoloģiski iespējams izpildīt šīs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persona, saņemot publisko elektronisko pakalpojumu, tiek informēta, kā tiek regulētas attiecības starp publiskā elektroniskā pakalpojuma sniedzēju un identifikācijas pakalpojuma sniedzēju.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tiek atvieglots, salīdzinot ar iepriekšējo regulējumu, jo publisko elektronisko pakalpojumu sniedzēju tehniskās un organizatoriskās prasības tiek atvieglotas, nosakot piemērošanas nosacījumu, ja tas ir tehnoloģiski iespējams.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elektronisko pakalpojumu sniedzēji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 reglamentē publisko elektronisko pakalpojumu pienākumus tehnisko un organizatorisko prasību nodrošināšanas jomā, tādejādi sakārtojot tiesiskās attiecības starp elektroniskā pakalpojuma saņemšanā iesaistītajiem subjektiem.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informācijas sabiedrības attīstības politiku, tiesiski reglamentējot tirgus dalībnieku tiesības un pienākumus digitālajā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22-TA-1876</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22-TA-1876</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anotācija_(ex_ante)_22-TA-1876.docx</dc:title>
</cp:coreProperties>
</file>

<file path=docProps/custom.xml><?xml version="1.0" encoding="utf-8"?>
<Properties xmlns="http://schemas.openxmlformats.org/officeDocument/2006/custom-properties" xmlns:vt="http://schemas.openxmlformats.org/officeDocument/2006/docPropsVTypes"/>
</file>