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 2027. gadam 4.3.3. specifiskā atbalsta mērķa "Uzlabot visu darba meklētāju, jo īpaši jauniešu, ilgstošo bezdarbnieku un nelabvēlīgā situācijā esošu grupu, kā arī neaktīvo personu piekļuvi nodarbinātībai, veicināt pašnodarbinātību un sociālo ekonomiku" 4.3.3.1. pasākuma "Bezdarbnieku, darba meklētāju un bezdarba riskam pakļauto personu kvalifikācijas un prasmju paaugstināšana" īstenošanas noteikumi" (turpmāk – TA projekts) ir Labklājības ministrijas (turpmāk – LM) iniciatīva un izstrādāts saskaņā ar Eiropas Savienības (turpmāk – ES) fondu 2021.–2027. gada plānošanas perioda vadības likuma 19. panta 6. un 13.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kārtību ES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iespējas mūža garumā ir tieši saistītas ar personas konkurētspēju darba tirgū, tās pakļautību nabadzības un sociālās atstumtības riskam, ienākumu līmeni. Atbilstoši ES Statistikas biroja (turpmāk – Eurostat) datiem [1], darba tirgus situācija ilgtermiņā pakāpeniski uzlabojas un 2025. gada 1. ceturksnī nodarbinātības līmenis personām vecumā no 15 līdz 64 gadiem Latvijā pieauga līdz 70,4 %. Pēdējo 10 gadu laikā pieaugums veido 3,5 procentpunktus (turpmāk – pp) un ir līdzīgs ES vidējam līmenim, kas veido 70,6 %. Savukārt saskaņā ar Eurostat datiem[2] bezdarba līmenis 2025. gada 1. ceturksnī personām vecumā no 15 līdz 74 gadiem samazinājies līdz 7,4 %, pēdējo 10 gadu laikā veidojot samazinājumu 2,8 pp, kas joprojām ir par 1,2 pp augstāks par ES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Nodarbinātības valsts aģentūras (turpmāk – NVA) datiem 2025. gada maija noslēgumā reģistrētā bezdarba līmenis samazinājās līdz 4,9 %. Darbu meklēja 43 111 reģistrētie bezdarbnieki. Bezdarba līmenis salīdzinājumā ar iepriekšējiem gadiem turpina pakāpeniski samazināties, tomēr atsevišķu NVA mērķa grupu – ilgstošie bezdarbnieki, personas ar invaliditāti, gados vecākas personas, personas ar zemu izglītības līmeni – īpatsvars kopējā bezdarbnieku skaitā saglabājas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maijā NVA uzskaitē bija 18 274 personas ar zemu izglītības līmeni (42,4 % no reģistrēto bezdarbnieku kopskaita), 17 307 personas vecumā 50 gadi un vairāk (40,1 %), 7 149 ilgstošie bezdarbnieki (16,6 %) un 5 931 personas ar invaliditāti (13,8 %).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četru gadu laikā NVA sniedza atbalstu vidēji 150 000 klientiem gadā, no tiem ap 56 000 katru gadu atgriezās darba tirgū. Personas atradās bezdarba situācijā vidēji 149 dienas jeb 4,9 mēnešus. Vidēji 71 000 unikālo personu (viena persona var piedalīties vairākos pasākumos) ik gadu tika iesaistītas dažādos NVA īstenotajos aktīvās darba tirgus politikas pasākumos, 20 000 no tām iesaistītas mācību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 informatīvajam ziņojumam "Par bezdarbnieku un darba meklētāju mācību rezultātiem 2023. gadā" [3] NVA īstenoto mācību pasākumu mērķis ir pēc iespējas ātrāka un sekmīgāka bezdarbnieku iesaiste darba tirgū, tāpēc nākamās profesijas izvēlei ir jābūt balstītai gan personas izvēlē, gan atbilstošai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NVA datiem 2024. gada 12 mēnešos NVA īstenotajos pasākumos (tai skaitā konkurētspējas paaugstināšanas pasākumos un karjeras konsultācijās, kuri ir papildinošs atbalsts mācību pasākumiem) uzsāka 71 501 dalībnieks (viena persona var piedalīties vairākos pasākumos).Vidēja un ilgtermiņa mācību pasākumos (neskaitot īstermiņa mācības un kursus) tika iesaistītas 18 905 unikālās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jūnija ES Atveseļošanas un noturības mehānisma (turpmāk – AF)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3.1.2.5.i. investīcija) ietvaros NVA īsteno projektu "Prasmju pilnveide pieaugušajiem" Nr. 3.1.2.5.i.0/1/23/I/CFLA/001/ (turpmāk – 3.1.2.5.i. investīcijas projekts). 3.1.2.5.i. investīcijas projekta ietvaros NVA veic ieguldījumus personu pārkvalifikācijā un jaunu prasmju apguvē, tostarp, sniedz atbalstu pārkvalifikācijai vidējās kvalifikācijas profesiju apguvē (apstrādes rūpniecība u.c.), kurās vērojams darba tirgus pieprasījums, saskaņā ar darba devēju aptauju rezultātiem trūkst darbaspēks, kā arī jomās un profesijās, kurās darbaspēks noveco, iziet no darba tirgus/pensionējas un nepieciešama tā savlaicīga aizvietošana; īsteno praktiskās mācības pie darba devēja un praktiskās mācības pēc darba devēja pieprasījuma, lai atbalstītu uzņēmumus tiem nepieciešamo speciālistu sagatavošanai, atbilstoši uzņēmumu specifikai un vadoties no apgūstamās kvalifikācijas; saskaņā ar darba devēju aptaujām nodrošina darba tirgū pieprasītu caurviju prasmju (digitālās prasmes, valodas, transportlīdzekļu vadīšana u.c.) apguvi; līdzfinansē mācības atvērto tiešsaistes kursu platformās mērķa grupai ar konkurētspējīgāku profilu, sniedzot iespējas prasmju sertifikācijai, ko atzinīgi novērtē darba devēji. 3.1.2.5.i. investīcijas projekta ietvaros ir izveidots arī pārkvalifikācijas un prasmju pilnveides piedāvājums ar fokusu uz digitālo prasmju pilnveides programmām NVA klientiem, izstrādāts NVA klientu profesionālās piemērotības novērtēšanas rīks, kurš ietver testus personu profilēšanai (klienta iegūto prasmju un kompetenču līmeņa noteikšanai), sekmējot personas iesaisti profilam piemērotākās izglītības programmās. Tāpat praktisko mācību pie darba devēja ietvaros tiek nodrošināts papildu atbalsts personas teorētisko zināšanu apguvei izglītības iestādēs vai ar papildu mācībspēku vai ekspertu piesaisti uzņēmumos. Kopš 2011. gada NVA tās klientiem piedāvā iespēju pilnveidot prasmes, izmantojot mācību kuponu sistēmu. Ja profilēšanas rezultātā bezdarbniekam ieteikts piedalīties mācībās un uzlabot iegūtās prasmes un kvalifikāciju, bezdarbnieks izvēlas sev piemērotāko mācību piedāvājumu un izglītības iestādi. Kuponu izsniedz informācijas sistēmas "Bezdarbnieku uzskaites un reģistrēto vakanču informācijas sistēma" (turpmāk – BURVIS) vakanču portālā tīmekļvietnē (klientu portālā) [4] bezdarbnieka profilā, un NVA informē personu par piešķirto kuponu. Tāpat īpašu uzmanību pēdējo gadu laikā NVA ir pievērsusi klientu digitālajām prasmēm, jo īpaši pamatprasmēm. Ir arī situācijas, kad pirms citu izglītības programmu apguves, personām nepieciešams pilnveidot latviešu valodas zināšanas. NVA ir lielākais latviešu valodas mācību piedāvātājs valstī. Profesionālās mācības, pārkvalifikācijas, kvalifikācijas paaugstināšanas, neformālās izglītības un transportlīdzekļu vadītāju mācību pasākumos vidēji iesaistās 30 % NVA no jauna reģistrēto personu. Augsts pieprasījums novērojams pēc digitālo prasmju un valodu apguves programmām. Īstenojot 3.1.2.5.i. investīcijas projektu, tiek nodrošināta mācību pasākumu atbilstība darba tirgus pieprasījumam un dažādu atbalsta programmu, kas tiek piedāvātas pieaugušajiem, savstarpēja saskaņotība. Saskaņā ar ekonomikas ministra 2024. gada 17. jūlija rīkojumu, ir izveidota Apvienotā pieaugušo izglītības koordinācijas komisija (turpmāk – APIKK). Tā ir starpnozaru koleģiāla ekspertu institūcija, kas izveidota, lai nodrošinātu saskaņotu mācību piedāvājumu pieaugušo izglītības jomā, īstenotu saskaņotu iesaistīto institūciju darbību un pārvaldības koordināciju pieaugušo izglītības jomā cilvēkkapitāla attīstības stratēģisko mērķu sasniegšanai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pieņemtu lēmumu par noteiktās izglītības/mācību programmas pievienošanu vai svītrošanu no izglītības/mācību programmu saraksta, APIKK analizē informāciju par darba tirgus ilgtermiņa, vidējā un īstermiņa prognozēm [6], NVA reģistrēto bezdarbnieku skaitu noteiktajās profesijās, reģistrēto brīvo darba vietu skaitu noteiktajās profesionālajās jomās, NVA klientu iesaisti izglītības programmās, ilgstoši neaizpildīto darba vietu profilu, klientu vēlmes apgūt noteiktās prasmes un kompetences, darba iekārtošanās rādītājus pēc dalības mācību pasākumos u.c. faktorus. Priekšlikumus izglītības/ mācību programmu saraksta papildināšanai var iesniegt gan APIKK dalībnieki, gan citas institūcijas vai civilsabiedrība, piemēram, eksperti no nozaru ekspertu padomēm [7], izskatot jautājumus, kas ir saistīti ar tautsaimniecības nozaru profesionālās izglītības efektivitātes un kvalitātes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https://ec.europa.eu/eurostat/databrowser/view/lfsq_ergan/default/table?lang=en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[2]https://ec.europa.eu/eurostat/databrowser/view/lfsq_urgan/default/table?lang=en&amp;category=labour.employ.lfsq.lfsq_unemp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https://www.lm.gov.lv/lv/media/27678/download?attachment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https://cvvp.nva.gov.lv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https://www.em.gov.lv/lv/apvienota-pieauguso-izglitibas-koordinacijas-komisija-apikk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https://prognozes.em.gov.lv un https://prognozes.nva.gov.lv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https://www.nozaruekspertupadomes.lv/nozaru-ekspertu-padomes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transformācijai, produktivitātes veicināšanai un darbaspēka trūkuma mazināšanai darba tirgū arī turpmāk ir būtiski veikt ieguldījumus personu pārkvalifikācijā un jaunu prasmju apguvē. Īpaši atbalstāmi un turpināmi ir tie pasākumi, kuros piedaloties, personas var būtiski kāpināt savu produktivitāti darba tirgū, tādējādi radot priekšnosacījumus, lai saņemtu augstāku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Novērojams, ka uzņēmumi pastiprināti veic dažādu procesu automatizāciju un digitalizāciju, kas rada riskus, ka līdzās darba tirgus polarizācijai, pieaugot digitālo prasmju lomai, sašaurināsies mazāk kvalificēto personu iespējas darba tirgū. Tāpēc īpaši atbalstāmas ir mazāk kvalificētas un tās personas, kuru izglītība vai kvalifikācija neatbilst vai prognozējams, ka neatbildīs arvien mainīgajām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Bezdarba un ilgstošā bezdarba riskam pakļautajām personām arī turpmāk ir nepieciešams komplekss atbalsts, kas ietver gan aktīvās darba tirgus politikas pasākumus, tai skaitā mācības, gan sociālos pakalpojumus. Lai efektīvi nodrošinātu secīgu un kompleksu atbalsta pasākumu piedāvājumu, ir svarīgi turpināt nodrošināt personu profilēšanu, ietverot pašreizējo prasmju novērtējumu un nosakot papildu apgūstamās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nākotnē darba tirgū sagaidāms pieprasījuma pieaugums pēc vidēji un augsti kvalificētiem speciālistiem. Personām bez iegūtas kvalifikācijas un/vai atbilstošas darba pieredzes iekļauties darba tirgū labi apmaksātās darba vietās būs arvien izaicinošāk. Personu bez iegūtas kvalifikācijas īpatsvars (ar vispārējo vidējo izglītību, ar iegūtu pamatizglītību vai bez tās) reģistrēto bezdarbnieku kopskaitā pēdējos gados saglabājas augsts (vairāk kā 42 %), tāpēc ir svarīgi sniegt kvalifikācijas ieguves iespējas vai atbalstu prasmju pilnveidei ar mērķi palielināt nodarbinātības iespējas tādās nozarēs, kurās notiek straujāka attīstība un jaunu darba vietu veidošanās.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3.1.2.5.i. investīcijas projekts, kura ietvaros šobrīd NVA sniedz atbalstu bezdarbnieku, darba meklētāju un bezdarba riskam pakļauto personu konkurētspējas un iekļaušanās darba tirgū veicināšanai, īstenojot profesionālās izglītības, pārkvalifikācijas, kvalifikācijas paaugstināšanas un neformālās izglītības pasākumus, tiks īstenots līdz 2026. gada 30. jūnijam. Atbalsts jaunu mērķa grupas personu iesaistei 3.1.2.5.i. investīcijas atbalstāmajās darbībās plānots indikatīvi līdz 2026. gada 2. ceturksnim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Nesniedzot piemērotu, katras personas individuālajās vajadzībās balstītu atbalstu mācībām, saglabāsies bezdarba, tai skaitā ilgstošā bezdarba riski, kuriem sekos sociālās spriedzes risks. Pašvaldībām un valstij būs jārod papildu resursi šo personu aktivizēšanai un iekļaušanai sabiedrībā, jārod minimālie iztikas līdzekļi un cits atbalsts, kas nepieciešams pilnvērtīgai dzīvei.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personu iekļaušanai darba tirgū nepieciešams, lai darbspējīgiem cilvēkiem primāri būtu iespējams gūt ienākumus no nodarbinātības un būt aktīviem sabiedrības locekļiem. Atbilstoši ES kohēzijas politikas programmā 2021.–2027. gadam (turpmāk – Programma) noteiktajam, lai nodrošinātu iekļaujošās nodarbinātības un prasmju pilnveides atbalsta nepārtrauktību, noslēdzoties 3.1.2.5.i. investīcijas projektam, ieguldījumi jāturpina, īstenojot 4.3.3.1. pasākumu "Bezdarbnieku, darba meklētāju un bezdarba riskam pakļauto personu kvalifikācijas un prasmju paaugstināšana" (turpmāk – 4.3.3.1.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4.3.3.1. pasākuma īstenošanai vērsti uz bezdarbnieku, darba meklētāju, bezdarba un sociālās atstumtības riskam pakļauto un ekonomiski neaktīvo personu nodarbinātības veicināšanu, nodrošinot viņu prasmju un kvalifikācijas atbilstību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noteikta kārtība, kādā paredzēts īstenot 4.3.3.1. pasākumu, noteikts tā mērķis, pieejamais finansējums, nacionālā līdzfinansējuma likme, prasības Eiropas Sociālā fonda Plus (turpmāk – ESF Plus) projekta iesnieguma (turpmāk – projekta iesniegums) iesniedzējam, finansējuma saņēmējam un sadarbības partnerim, kā arī noteiktas atbalstāmās darbības un sasniedzamie uzraudzības rādītāji, noteikti izmaksu attiecināmības, tostarp komercdarbības atbalsta piešķiršanas un vienkāršoto izmaksu piemērošanas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4.3.3.1. pasākumu paredzēts īstenot ierobežotas projektu iesniegumu atlases veidā</w:t>
      </w:r>
      <w:r w:rsidR="00000000" w:rsidRPr="00000000" w:rsidDel="00000000">
        <w:rPr>
          <w:rtl w:val="0"/>
        </w:rPr>
        <w:t xml:space="preserve">, kā finansējuma saņēmēju nosakot NVA – iestādi, kas saskaņā ar Bezdarbnieku un darba meklētāju atbalsta likumu (turpmāk – BDMAL) īsteno valsts politiku bezdarba samazināšanas un bezdarbnieku, darba meklētāju un bezdarba riskam pakļauto personu atbalsta jomā. 4.3.3.1. pasākuma īstenošanā paredzēts piesaistīt sadarbības partneri – Izglītības kvalitātes valsts dienestu (turpmāk – IKVD) – Izglītības un zinātnes ministrijas (turpmāk  – IZM) pārraudzībā esošu tiešās pārvaldes iestādi, kas veic izglītības kvalitātes monitoringu un sniedz atbalstu izglītības procesa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atbalsta nodrošināšanai atbilstoši Programmā norādītajai 4.3.3.1. pasākuma </w:t>
      </w:r>
      <w:r w:rsidR="00000000" w:rsidRPr="00000000" w:rsidDel="00000000">
        <w:rPr>
          <w:b w:val="1"/>
          <w:i w:val="1"/>
          <w:rtl w:val="0"/>
        </w:rPr>
        <w:t xml:space="preserve">mērķa grupai</w:t>
      </w:r>
      <w:r w:rsidR="00000000" w:rsidRPr="00000000" w:rsidDel="00000000">
        <w:rPr>
          <w:rtl w:val="0"/>
        </w:rPr>
        <w:t xml:space="preserve"> (BDMAL 10., 15. un 15.</w:t>
      </w:r>
      <w:r w:rsidR="00000000" w:rsidRPr="00000000" w:rsidDel="00000000">
        <w:rPr>
          <w:vertAlign w:val="superscript"/>
          <w:rtl w:val="0"/>
        </w:rPr>
        <w:t xml:space="preserve">1</w:t>
      </w:r>
      <w:r w:rsidR="00000000" w:rsidRPr="00000000" w:rsidDel="00000000">
        <w:rPr>
          <w:rtl w:val="0"/>
        </w:rPr>
        <w:t xml:space="preserve"> pantā minētajām mērķa grupām: bezdarbniekiem, darba meklētājiem un bezdarba riskam pakļautajām personām (turpmāk visi kopā – mērķa grupa)), organizējot mācības 2025. gadā un turpmāk, paredzēts pakāpeniski 3.1.2.5.i. investīcijas ietvaros atbalstāmo darbību īstenošanu uzsākt/ turpināt 4.3.3.1. pasākuma projekta ietvaros. 4.3.3.1. pasākums paredzēts t.sk. personām ar invaliditāti, nelabvēlīgākā situācijā esošiem bezdarbniekiem, ilgstošiem bezdarbniekiem,  jauniešiem – bezdarbniekiem vecumā 18–29 gadi, personām pirmspensijas vecumā, sociālās atstumtības riskam pakļautām iedzīvotāju grupām, ekonomiski neaktīvajiem iedzīvotājiem, personām, kuras ieguvušas bēgļa vai alternatīvās personas statusu, ja tās reģistrējušās NVA un ieguvušas bezdarbnieka, darba meklētāja vai bezdarba riskam pakļautās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ierobežoto finansējumu 4.3.3.1. pasākuma īstenošanai, atbalstāmajās darbībās prioritāri tiks iesaistītas šādas bezdarba riskam pakļauto personu mērķa grupas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nodarbināta persona vai pašnodarbinātais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nodarbināta persona vai pašnodarbinātais, kuram ir darba tirgus prasībām nepietiekama izglītība vai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nodarbināta persona vai pašnodarbinātais,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personas 4.3.3.1. pasākuma atbalstāmajās darbībās iesaista saskaņā ar TA projekta 16. un 22.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4.3.3.1. pasākuma ietvaros pieejamais kopējais attiecināmais finansējums ir</w:t>
      </w:r>
      <w:r w:rsidR="00000000" w:rsidRPr="00000000" w:rsidDel="00000000">
        <w:rPr>
          <w:rtl w:val="0"/>
        </w:rPr>
        <w:t xml:space="preserve"> </w:t>
      </w:r>
      <w:r w:rsidR="00000000" w:rsidRPr="00000000" w:rsidDel="00000000">
        <w:rPr>
          <w:b w:val="1"/>
          <w:rtl w:val="0"/>
        </w:rPr>
        <w:t xml:space="preserve">47 850 000</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rtl w:val="0"/>
        </w:rPr>
        <w:t xml:space="preserve">, tai skaitā ESF Plus finansējums – 40 672 500 </w:t>
      </w:r>
      <w:r w:rsidR="00000000" w:rsidRPr="00000000" w:rsidDel="00000000">
        <w:rPr>
          <w:i w:val="1"/>
          <w:rtl w:val="0"/>
        </w:rPr>
        <w:t xml:space="preserve">euro </w:t>
      </w:r>
      <w:r w:rsidR="00000000" w:rsidRPr="00000000" w:rsidDel="00000000">
        <w:rPr>
          <w:rtl w:val="0"/>
        </w:rPr>
        <w:t xml:space="preserve">un valsts budžeta līdzfinansējums – 7 177 500 </w:t>
      </w:r>
      <w:r w:rsidR="00000000" w:rsidRPr="00000000" w:rsidDel="00000000">
        <w:rPr>
          <w:i w:val="1"/>
          <w:rtl w:val="0"/>
        </w:rPr>
        <w:t xml:space="preserve">euro</w:t>
      </w:r>
      <w:r w:rsidR="00000000" w:rsidRPr="00000000" w:rsidDel="00000000">
        <w:rPr>
          <w:rtl w:val="0"/>
        </w:rPr>
        <w:t xml:space="preserve">. 4.3.3.1. pasākumam sākotnēji tika noteikts elastības finansējums 34 298 869 </w:t>
      </w:r>
      <w:r w:rsidR="00000000" w:rsidRPr="00000000" w:rsidDel="00000000">
        <w:rPr>
          <w:i w:val="1"/>
          <w:rtl w:val="0"/>
        </w:rPr>
        <w:t xml:space="preserve">euro</w:t>
      </w:r>
      <w:r w:rsidR="00000000" w:rsidRPr="00000000" w:rsidDel="00000000">
        <w:rPr>
          <w:rtl w:val="0"/>
        </w:rPr>
        <w:t xml:space="preserve">, tai skaitā ESF Plus finansējums –  29 154 039 </w:t>
      </w:r>
      <w:r w:rsidR="00000000" w:rsidRPr="00000000" w:rsidDel="00000000">
        <w:rPr>
          <w:i w:val="1"/>
          <w:rtl w:val="0"/>
        </w:rPr>
        <w:t xml:space="preserve">euro</w:t>
      </w:r>
      <w:r w:rsidR="00000000" w:rsidRPr="00000000" w:rsidDel="00000000">
        <w:rPr>
          <w:rtl w:val="0"/>
        </w:rPr>
        <w:t xml:space="preserve">, valsts budžeta līdzfinansējums – 5 144 830 </w:t>
      </w:r>
      <w:r w:rsidR="00000000" w:rsidRPr="00000000" w:rsidDel="00000000">
        <w:rPr>
          <w:i w:val="1"/>
          <w:rtl w:val="0"/>
        </w:rPr>
        <w:t xml:space="preserve">euro</w:t>
      </w:r>
      <w:r w:rsidR="00000000" w:rsidRPr="00000000" w:rsidDel="00000000">
        <w:rPr>
          <w:rtl w:val="0"/>
        </w:rPr>
        <w:t xml:space="preserve">, saskaņā ar kuru līdz elastības finansējuma piešķiršanai projekta iesniegumā 4.3.3.1. pasākuma īstenošanai kopējo pieejamo finansējumu būtu jāplāno ne vairāk kā 13 551 131 </w:t>
      </w:r>
      <w:r w:rsidR="00000000" w:rsidRPr="00000000" w:rsidDel="00000000">
        <w:rPr>
          <w:i w:val="1"/>
          <w:rtl w:val="0"/>
        </w:rPr>
        <w:t xml:space="preserve">euro</w:t>
      </w:r>
      <w:r w:rsidR="00000000" w:rsidRPr="00000000" w:rsidDel="00000000">
        <w:rPr>
          <w:rtl w:val="0"/>
        </w:rPr>
        <w:t xml:space="preserve">, tai skaitā ESF Plus finansējumu – 11 518 461 </w:t>
      </w:r>
      <w:r w:rsidR="00000000" w:rsidRPr="00000000" w:rsidDel="00000000">
        <w:rPr>
          <w:i w:val="1"/>
          <w:rtl w:val="0"/>
        </w:rPr>
        <w:t xml:space="preserve">euro</w:t>
      </w:r>
      <w:r w:rsidR="00000000" w:rsidRPr="00000000" w:rsidDel="00000000">
        <w:rPr>
          <w:rtl w:val="0"/>
        </w:rPr>
        <w:t xml:space="preserve">, valsts budžeta līdzfinansējumu – 2 032 670 </w:t>
      </w:r>
      <w:r w:rsidR="00000000" w:rsidRPr="00000000" w:rsidDel="00000000">
        <w:rPr>
          <w:i w:val="1"/>
          <w:rtl w:val="0"/>
        </w:rPr>
        <w:t xml:space="preserve">euro</w:t>
      </w:r>
      <w:r w:rsidR="00000000" w:rsidRPr="00000000" w:rsidDel="00000000">
        <w:rPr>
          <w:rtl w:val="0"/>
        </w:rPr>
        <w:t xml:space="preserve">. Tomēr, ņemot vērā Ministru ES fondu tematiskās komitejas  2024. gada 31. oktobra lēmumu par elastības finansējuma izmantošanu un EK saskaņošanai iesniegtos Programmas grozījumus Nr. 3, TA projekts paredz 4.3.3.1. pasākuma pieejamo finansējumu, kas ietver arī sākotnēji plānoto 4.3.3.1 pasākuma elastības finansējumu (t.i., 4.3.3.1. pasākuma elastības finansējums tiks izmantots šī paša 4.3.3.1. pasākuma īstenošanai). Tā kā nepieciešams nodrošināt 4.3.3.1. pasākumā sniegtā atbalsta nepārtrauktību un nav indikāciju, ka EK neatbalstīs Programmas grozījumos Nr. 3 ietvertā priekšlikuma elastības finansējuma saglabāšanai 4.3.3.1. pasākumā, TA projektam pievienotais MK protokollēmums paredz atļauju NVA uzņemties saistības arī par elastības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4.3.3.1. pasākumā plānoto atbalstāmo darbību īstenošanu nodrošinās projekta personāls, NVA MK 2011. gada 25. janvāra noteikumos Nr. 75 "Noteikumi par aktīvo nodarbinātības pasākumu un preventīvo bezdarba samazināšanas pasākumu organizēšanas un finansēšanas kārtību un pasākumu īstenotāju izvēles principiem" (turpmāk – MK noteikumi Nr. 75) noteiktajā kārtībā izvēlēti pasākumu īstenotāji un arī Publisko iepirkumu likumā (turpmāk – PIL) noteiktā kārtībā piesaistīti pakalpojuma sniedzēji un piegādātāji. NVA, iesniedzot 4.3.3.1. pasākuma projekta iesniegumu Centrālai finanšu un līgumu aģentūrai (turpmāk – CFLA), jāievēro, ka 4.3.3.1. pasākuma ietvaros izmaksas ir attiecināmas, ja tās atbilst TA projektā minētajām izmaksu pozīcijām, un ir radušās ne agrāk kā 2026. gada 1. janvārī. Tostarp jāņem vērā, ka nav attiecināmas izmaksas par jau pabeigtām darbībām. Par pabeigtām darbībām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ir uzskatāmas darbības, kuras ir fiziski pabeigtas vai pilnībā īstenotas un saistībā ar kurām finansējuma saņēmējs ir veicis visus saistītos maksājumus un tam ir izmaksāts atbilstošais publiskais ieguldījums. Minētajā gadījumā par darbību uzskatāms īstenots 4.3.3.1. pasākuma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Pārejai no 3.1.2.5.i. investīcijas īstenošanas uz 4.3.3.1. pasākuma īstenošanu, nodrošinot, ka NVA mērķa grupas personām ir pieejami mācību pasākumi bez pārtraukuma, t.i., 3.1.2.5.i atbalstāmajās darbībās, kurās mērķa grupas iesaiste mācībās paredzēta, piemēram, sešus mēnešus, jaunu mērķa grupas personu iesaiste 3.1.2.5.i. investīcijas ietvaros tiks pārtraukta 2025. gada noslēgumā (lai nodrošinātu, ka dalība tiek pabeigta un norēķini ar izglītības iestādēm veikti 3.1.2.5.i. investīcijas projekta īstenošanas laikā). Savukārt, lai neizveidotos situācija, ka mērķa grupas personām nav pieejami NVA īstenotie mācību pasākumi, nepieciešams nodrošināt, ka jaunu mērķa grupas personu iesaiste 3.1.2.5.i investīcijas projektā pārtrauktajās atbalstāmajās darbībās iespējama 4.3.3.1. pasākuma projektā. Būtiski arī nodrošināt, ka 4.3.3.1. pasākuma projekta vadību un īstenošanu veic pieredzējis un kompetents personāls, tāpēc, lai 4.3.3.1. pasākuma projektā saglabātu 3.1.2.5.i. investīcijas projektā piesaistīto personālu, pārejai starp projektiem jābūt secīgai un bez pārtraukumiem to īstenošanā (līdzīgu pieeju NVA īstenoja arī, kad notika pāreja no 7.1.1. specifiskā atbalsta mērķa “Paaugstināt bezdarbnieku kvalifikāciju un prasmes atbilstoši darba tirgus pieprasījumam” un 14.1.2. specifiskā atbalsta mērķa “Atveseļošanas pasākumi labklājības jomā” ietvaros īstenotā projekta Nr. 7.1.1.0/15/I/001 “Atbalsts bezdarbnieku izglītībai” (turpmāk – 7.1.1. projekts) uz 3.1.2.5.i. investīcijas projektu). Atbilstoši nepieciešams paredzēt iespēju (ja tas būs nepieciešams) vēl pirms vienošanās ar CFLA noslēgšanas par 4.3.3.1. pasākuma projekta īstenošanu, t.sk. veikt administratīvās rīcības paredzēto atbalstāmo darbību savlaicīgai uzsākšanai, ievērojot to apjomu un sarežģītību. Līdzšinējā pieredze liecina, ka projekta vadības un īstenošanas komandas nokomplektēšana, iepirkumu organizēšana un mācību īstenotāju izvēle ir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prognozējams, ka  4.3.3.1. pasākuma īstenošanai 2026. gadā (plānots, ka 4.3.3.1. pasākuma projekta īstenošana sāksies indikatīvi 2026. gada 1. ceturksnī, vēl pirms vienošanās noslēgšanas ar CFLA par 4.3.3.1. pasākuma projekta īstenošanu) indikatīvi nepieciešams valsts budžeta priekšfinansējums 2026. gada 1. pusgadā ne vairāk kā 5 839 682 </w:t>
      </w:r>
      <w:r w:rsidR="00000000" w:rsidRPr="00000000" w:rsidDel="00000000">
        <w:rPr>
          <w:i w:val="1"/>
          <w:rtl w:val="0"/>
        </w:rPr>
        <w:t xml:space="preserve">euro</w:t>
      </w:r>
      <w:r w:rsidR="00000000" w:rsidRPr="00000000" w:rsidDel="00000000">
        <w:rPr>
          <w:rtl w:val="0"/>
        </w:rPr>
        <w:t xml:space="preserve">,  tai skaitā projekta vadības un tā īstenošanas nodrošināšanas izmaksu segšanai indikatīvi 1,3 milj. </w:t>
      </w:r>
      <w:r w:rsidR="00000000" w:rsidRPr="00000000" w:rsidDel="00000000">
        <w:rPr>
          <w:i w:val="1"/>
          <w:rtl w:val="0"/>
        </w:rPr>
        <w:t xml:space="preserve">euro</w:t>
      </w:r>
      <w:r w:rsidR="00000000" w:rsidRPr="00000000" w:rsidDel="00000000">
        <w:rPr>
          <w:rtl w:val="0"/>
        </w:rPr>
        <w:t xml:space="preserve">, mācību pasākumiem  indikatīvi 3,39 milj. </w:t>
      </w:r>
      <w:r w:rsidR="00000000" w:rsidRPr="00000000" w:rsidDel="00000000">
        <w:rPr>
          <w:i w:val="1"/>
          <w:rtl w:val="0"/>
        </w:rPr>
        <w:t xml:space="preserve">euro</w:t>
      </w:r>
      <w:r w:rsidR="00000000" w:rsidRPr="00000000" w:rsidDel="00000000">
        <w:rPr>
          <w:rtl w:val="0"/>
        </w:rPr>
        <w:t xml:space="preserve">, bezdarbnieku stipendiju izmaksām mācībās iesaistāmajiem  indikatīvi 0,8 milj. </w:t>
      </w:r>
      <w:r w:rsidR="00000000" w:rsidRPr="00000000" w:rsidDel="00000000">
        <w:rPr>
          <w:i w:val="1"/>
          <w:rtl w:val="0"/>
        </w:rPr>
        <w:t xml:space="preserve">euro</w:t>
      </w:r>
      <w:r w:rsidR="00000000" w:rsidRPr="00000000" w:rsidDel="00000000">
        <w:rPr>
          <w:rtl w:val="0"/>
        </w:rPr>
        <w:t xml:space="preserve">, atbalstam bezdarbnieku reģionālajai mobilitātei indikatīvi 0,32 milj. </w:t>
      </w:r>
      <w:r w:rsidR="00000000" w:rsidRPr="00000000" w:rsidDel="00000000">
        <w:rPr>
          <w:i w:val="1"/>
          <w:rtl w:val="0"/>
        </w:rPr>
        <w:t xml:space="preserve">euro</w:t>
      </w:r>
      <w:r w:rsidR="00000000" w:rsidRPr="00000000" w:rsidDel="00000000">
        <w:rPr>
          <w:rtl w:val="0"/>
        </w:rPr>
        <w:t xml:space="preserve">, sabiedrības informēšanas kampaņas īstenošanai indikatīvi 0,03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TA projektu MK plānots apstiprināt 2025. gada 4. ceturksnī. Saskaņā ar FM – vadošās iestādes norādēm, TA projekta virzība Vienotajā tiesību aktu izstrādes un saskaņošanas portālā (turpmāk – TAP) bija sākama pēc tam, kad Latvija iesniedz EK ziņojumu par vidusposma novērtējumu un tiek saņemts (vismaz neformāls) EK viedoklis par to. Saskaņā ar regulas Nr. 2021/1060 18. panta 2. punktu dalībvalstis līdz 2025. gada 31. martam iesniedz EK katras programmas vidusposma pārskata rezultātu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vidusposma novērtējums kopā ar Programmas grozījumiem Nr. 3 MK tika apstiprināts 2025. gada 27. maijā un 2025. gada 29. maijā oficiāli iesniegts apstiprināšanai EK. 2025. gada jūlijā un augustā tika saņemti EK komentāri par 2025. gada 29. maijā iesniegto Programmu. Ievērojot, ka EK komentāri neskāra 4.3.3.1. pasākumu, LM uzsāka TA projekta ārēju saskaņošanu TAP 2025. gada 25. jūlijā. Savukārt CFLA uzsākt 4.3.3.1. projekta atlasi, kura ietver projekta veidlapas ģenerēšanu, finansējuma saņēmēja uzaicināšanu izstrādāt projekta iesniegumu, projekta iesnieguma vērtēšanu, lēmuma pieņemšanu  un līguma noslēgšanu, plānots 2026. gada 1. ceturksnī, bet ne ātrāk kā MK apstiprināts TA projekts. Vidējais laika periods no TA projekta apstiprināšanas līdz līguma slēgšanai ar finansējuma saņēmēju par projekta īstenošanu ir seši mēneši, tāpēc norādīts, ka periods, kurā nepieciešams priekšfinansējums ir 2026. gada 1. pusgads.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(NVA) ir centrālā valsts pārvaldes iestāde ar pieredzi un veiktspēju ārvalstu finanšu palīdzības, t.sk. ES politikas instrumentu un pārējās ārvalstu finanšu palīdzības programmu, projektu īstenošanā, t.sk. izmaksu plānošanā. Vienlaikus TA projektā ir precīzi un detāli noteikti 4.3.3.1. pasākuma atbalstāmo darbību īstenošanas un izmaksu attiecināšanas nosacījumi. NVA, veicot pamatdarbības uzdevumus un kā finansējuma saņēmējs īstenojot projektus, ievēro kā ārējos, tā iekšējos normatīvajos aktos noteikto, nodrošinot labas finanšu pārvaldības principus neatkarīgi no izdevumu finansēšanas avota. NVA ir izveidota iekšējās kontroles sistēma (iekšējie normatīvie akti) (turpmāk – IKS), kas paredz vairāku līmeņu kontroli dažādās izmaksu uzraudzības procesa stadijās, piemēram, iepirkumu dokumentācijas sagatavošanā, līgumu slēgšanā, iepirkumu izpildes dokumentācijas saskaņošanā, izmaksu aprēķināšanā, veikšanā un uzskaitē. Minētā IKS tiks piemērota arī 4.3.3.1. pasākuma projekta īstenošanai pirms projekta iesnieguma sagatavošanas (ja tas būs nepieciešams), kā arī projekta vadībā tiks iesaistīts personāls ar pieredzi līdzīgu projektu īstenošanā, kas nodrošinās projekta izmaksu atbilstību izmaksu attiecināšanas nosacījumiem (t.sk. projekta īstenošanai noslēgto iepirkuma līgumu kontroli, ieskaitot nodevumu saskaņošanu ar attiecīgo struktūrvienību (ja nepieciešams)), un projekta atbildīgās amatpersonas noteikšanu, kas apstiprina ar iepirkumu līgumu izpildi saistītus dokumentus. Attiecīgi ir zems risks, ka pirms 4.3.3.1. pasākuma projekta apstiprināšanas veiktās izmaksas var netikt atzītas par attiecināmām. Priekšfinansējuma plānotā 4.3.3.1. pasākuma projekta īstenošanai nepiešķiršanas gadījumā netiks savlaicīgi (2026. gada I ceturksnī) uzsākta atbalstāmo darbību īstenošana, veidosies pārtraukums mācību pasākumu nodrošināšanā NVA klientiem, kā arī savlaicīgi netiks investēts 4.3.3.1. pasākuma projektā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mērķa sasniegšanai – veicināt bezdarbnieku, darba meklētāju, bezdarba riskam pakļauto personu konkurētspēju darba tirgū,</w:t>
      </w:r>
      <w:r w:rsidR="00000000" w:rsidRPr="00000000" w:rsidDel="00000000">
        <w:rPr>
          <w:b w:val="1"/>
          <w:i w:val="1"/>
          <w:rtl w:val="0"/>
        </w:rPr>
        <w:t xml:space="preserve"> līdz 2029. gada 31. decembrim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iznākuma rādītājs – bezdarbnieki, tostarp ilgstošie bezdarbnieki, – 34 312 (daļa no Programmā 4.3.3. specifiskajam atbalsta mērķim noteiktā rādītāja EECO02, kas  veidojas šādi: 44 158 (34 312 (4.3.3.1.) + 9 846 (4.3.3.2.)));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iznākuma rādītājs – nodarbinātas personas, tostarp pašnodarbinātas personas, – 3 000 (daļa no Programmā 4.3.3. specifiskajam atbalsta mērķim noteiktā rādītāja EECO05, kas veidojas šādi: 6 104 (3 000 (4.3.3.1. pasākums) + 627 (4.3.3.2. pasākums) + 2 477 (4.3.3.5.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rezultāta rādītājs – dalībnieki, kuri pēc dalības pārtraukšanas ir ieguvuši kvalifikāciju, – 3 064;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rezultāta rādītājs – dalībnieki, kuri pēc dalības pārtraukšanas ir nodarbināti, tai skaitā pašnodarbinātie, – 4 692 (daļa no Programmā 4.3.3. specifiskajam atbalsta mērķim noteiktā rādītāja EECR04, kas veidojas šādi: 6 346 (4 692 (4.3.3.1. pasākums) + 1 654 (4.3.3.2.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Detālāku rādītāju aprēķinu Programmas rādītājiem var skatīt LM izstrādātajā rādītāju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rezultāta radītājs – dalībnieki, kuri sešu mēnešu laikā pēc dalības pārtraukšanas ir nodarbināti, tai skaitā pašnodarbinātie, – 17 156. Rādītāja vērtība noteikta šādi: 34 312 (bezdarbnieki, tostarp ilgstošie bezdarbnieki, kuriem sniegts atbalsts 4.3.3.1. pasākuma ietvaros) x 50% (personu īpatsvars, kuras sešu mēnešu laikā pēc dalības pārtraukšanas, ir tapušas nodarbinātas, pašnodarbinātas, atbilstoši FM izvērtējuma datiem [19], saskaņā ar kuru darba tirgū pēc dalības mācību pasākumos varētu atgriezties vidēji 50% bezdarbnieku). Nacionālais rādītājs iekļauts, ņemot vērā saņemtos IZM iebildumus TA projekta saskaņošanas laikā ar mērķi novērtēt 4.3.3.1. pasākuma efektivitāti ilgtermiņā. Nacionālā rādītāja uzkrāšana NVA kā finansējuma saņēmējam neradīs papildu būtisku administratīvo slogu, ņemot vērā, ka NVA jau šobrīd seko līdzi tās klientu, tostarp sekos 4.3.3.1.projektā iesaistīto mērķa grupas personu, darbā iekārtošanās rādītājiem sešu mēnešu periodā pēc to dalības NVA organizētajos pasākumos. Šī informācija ir pieejama arī publiski (piemēram, gada pārskatos, pieejami šeit: https://www.nva.gov.lv/lv/publikacijas-un-parskati).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rādītāju, tai skaitā nacionālā rādītāja uzskaiti NVA veiks atbilstoši EK vadlīnijās (Common indicators toolbox Working document) norādītajam. Informāciju par sasniegtajiem uzraudzības rādītājiem NVA iesniegs Kohēzijas politikas fondu vadības informācijas sistēmā (turpmāk – vadības informācijas sistēma). Rādītāju izpildes uzraudzību veiks CFLA – sadarbības iestāde kopējā projekta uzraudzības procesā, ja nepieciešams, rādītāju izpildi vērtējot izlases veidā pārbaudēs pie NVA kā finansējuma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saistīto informāciju vadības informācijas sistēmā ievadīs NVA, iesniedzot maksājumu pieprasījumus. IKVD sniegs informāciju NVA ārpus vadības informācijas sistēmas, atbilstoši abu pušu sadarbības līgumā noteiktajam informācijas apmaiņas veidam. IKVD kā sadarbības partnerim noteiktie pienākumi nav tieši saistīti ar uzraudzības rādītāju sasniegšanu, taču no IKVD konsultācijām normatīvo aktu piemērošanas jomā ir atkarīga, piemēram, izmaksu attiecināmība, īstenojot mācību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4.3.3.1. pasākuma ietvaros mērķa grupai plānotais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profesionālās izglītības, pārkvalifikācijas, kvalifikācijas paaugstināšanas, neformālās izglītības un citu mācību pasākumu īstenošanas nosacījumi un pakalpojumu sniedzēju (tostarp izglītības iestāžu) piesaistes kārtība noteikta MK noteikumos Nr. 75. 4.3.3.1. pasākuma projektā darbības un izmaksas plāno un īsteno atbilstoši MK noteikumos Nr. 75 noteiktajam, ciktāl TA projektā nav noteikts citādi. NVA pieņemto lēmumu apstrīdēšanas kārtība noteikta BDMAL 6.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un anotācijā lietota terminoloģija atbilstoši Izglītība likumam. TA projektā un anotācijā aizstāts MK noteikumos Nr. 75 lietotais termins "apmācības programma" ar "izglītības programma" un "apmācības" ar "mācības" vai "izglītības" attiecīgajā locījumā un skaitā. Mācību pasākumu organizēšanai, kā plānots piemērot 18.3.3. apakšpunktā minēto metodiku "Vienības izmaksu standarta likmes aprēķina un piemērošanas metodika mācību izmaksām"  (turpmāk – mācību izmaksu metodika), kas nosaka mācību kupona vienības izmaksu standarta likmi, tās apmēru, aprēķinu un piemērošanas nosacījumus, tai skaitā metodikas aktualizēšanas nosacījumus. Mācību izmaksu metodiku LM kā ES fondu [8] atbildīgā iestāde ir izstrādājusi un virza to ar Programmas grozījumiem Nr. 3  pievienošanai Programmas pielikumā, pirms tam saskaņojot ar  FM – vadošo iestādi un revīzijas iestādi. Atbilstoši noteikumu projekta protokollēmuma projektā ietvertajam –  ja līdz 2025. gada 31. decembrim mācību izmaksu metodika nebūs apstiprināta kā Programmas pielikums, LM nodrošinās mācību izmaksu metodikas apstiprināšanu, kuru piemēros līdz mācību izmaksu metodikas apstiprināšanai kā Programmas pielikumu. Tas nepieciešams 4.3.3.1. pasākuma projekta īstenošanas uzsākšanai no 2026. gada 1. janvāra. Noteikumu projekts “Grozījumi Ministru kabineta 2021. gada 16. novembra rīkojumā Nr. 841 “Par Eiropas Savienības kohēzijas politikas programmu 2021.–2027. gadam”” (25-TA-2199) tika apstiprināts 2025. gada 7. oktobra MK sēdē (protokols Nr. 41 46. § 3.1. darba kārtības jautājums) un 2025. gada 27. oktobrī  (vēstule Nr. 6.4-15/14/3170 “Par saskaņotās procedūras darba uzdevuma Nr. 34 ziņojumu”) par vienkāršoto izmaksu metodiku ir saņemts pozitīvs ES fondu revīzijas iestādes atzinums un Programmas REARM grozījumi ir oficiāli iesniegti EK SFC2021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atbalsts mērķa grupai tiek sniegts 3.1.2.5.i. investīcijas ietvaros, tās īstenošanu nosaka Ministru kabineta (turpmāk – MK) 2023. gada 20. jūnija noteikumi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MK noteikumi Nr. 323). Atbalsts jaunu mērķa grupas personu iesaistei 3.1.2.5.i. investīcijas atbalstāmajās darbībās būs pieejams indikatīvi līdz 2026. gada 2. ceturksnim (ieskaitot). Indikatīvi 2026. gada 1. ceturksnī ir plānots uzsākt 4.3.3.1. pasākuma īstenošanu, mērķa grupas iesaisti atbalstāmajās darbībās uzsākot indikatīvi 2026. gada 1. ceturksnī (4.3.3.1. pasākuma īstenošana indikatīvi plānota līdz 2029. gada 4. ceturksnim). 4.3.3.1. pasākuma īstenošanā plānots saglabāt pieeju un nosacījumus mērķa grupas personu mācību nodrošināšanai, kāda tā noteikta MK noteikumos Nr. 75 un MK noteikumos Nr. 323.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tiks īstenoti ar NVA filiāļu starpniecību, izmantojot arī darba tirgus prognozēšanas rīku rezultātus, kas jau šobrīd piedāvā papildu informācijas ieguves iespējas pirms iesaistes atbalstāmajās darbībās. Ārpus 4.3.3.1. pasākuma NVA filiāles vietējā līmenī veido partnerības ar darba devējiem, izglītības iestādēm, nozaru asociācijām u.c. partneriem. Mērķa grupas piesaistes jautājumos NVA filiāles sadarbojas arī ar sociālajiem dienestiem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īstenošana tiks balstīta uz iepriekš šāda veida īstenoto pasākumu ietekmes novērtējumu rezultātiem, kā arī darba tirgus analīzi, tajā skaitā darba tirgus prognozēšanas rezultātiem (NVA un EM prognozes), darba devēju aptaujām [9] un bezdarba situācijas izvērtējumu (NVA operatīvā informācija un statistika par bezdarbnieku skaitu valstī, NVA klientu profilu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4.3.3.1. pasākuma īstenošanai balstīti "Sociālās aizsardzības un darba tirgus attīstības pamatnostādnes 2021.–2027.gadam" [10] noteiktajos attīstības virzienos un ir cieši saistīti ar Eiropas Sociālo tiesību pīlāra [11] principiem, tostarp aktīvs atbalsts nodarbinātībai, ilgtermiņa aprūpe un personu ar invaliditāti iekļaušana.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prasmju pilnveides, tai skaitā digitālo prasmju jomā, pasākumi tiks īstenoti saskaņā ar "Izglītības un prasmju attīstības pamatnostādnes 2021. – 2027.gadam" [12] noteiktajām prioritātēm attiecībā uz iesaisti pieaugušo izglītībā un līdzdalības pieaugušo izglītībā mērķa sasniegšanu, vienlaikus prasmju pilnveides pasākumu ietvaros veicinot kvalitātes, efektivitātes, pieejamības un sadarbības principu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iesaiste prasmju pilnveides pasākumos sniegs arī atbalstu tautsaimniecības transformācijai tajās jomās, kurās nepieciešams veicināt darbaspēka pāreju starp nozarēm un profesijām. Tāpat iesaiste darba tirgū pieprasīto prasmju apguvē sekmēs arī ar automatizāciju un digitalizāciju ieviešanu saistītos procesus uzņēmumos un sekmēs pāreju uz augstākas pievienotās vērtības ražošanu un pakalpojumiem, vienlaikus atbalstot investīciju piesaisti un izaugsmi, kā arī "zaļāku" un "digitālu"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pēc 3.1.2.5.i. investīcijas īstenošanas noslēguma, mērķa grupas personām nodrošinātu iespēju uzlabot prasmes un iegūt vai pilnveidot profesionālās zināšanas,</w:t>
      </w:r>
      <w:r w:rsidR="00000000" w:rsidRPr="00000000" w:rsidDel="00000000">
        <w:rPr>
          <w:b w:val="1"/>
          <w:i w:val="1"/>
          <w:rtl w:val="0"/>
        </w:rPr>
        <w:t xml:space="preserve"> 4.3.3.1. pasākuma ietvaros ir plānotas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konkurētspējas paaugstināšanas pasākumu īstenošana mērķa grupas personām. </w:t>
      </w:r>
      <w:r w:rsidR="00000000" w:rsidRPr="00000000" w:rsidDel="00000000">
        <w:rPr>
          <w:rtl w:val="0"/>
        </w:rPr>
        <w:t xml:space="preserve">Atbalstāmā darbība ietver individuālās konsultācijas un grupu nodarbības (kursi, semināri, lekcijas un citas nodarbības) darba meklēšanas metožu apguvei, psiholoģiskajam atbalstam un darba tirgum nepieciešamo pamatprasmju un iemaņu apguvei, tai skaitā darba tiesisko attiecību veidošanā, darba tiesībās un darba aizsardzībā. Lai veicinātu konkurētspējas paaugstināšanas pasākumu satura atbilstību esošajai situācijai NVA izstrādātajos elektronisko mācību moduļos, sākot no 2026. gada (pēc 3.1.2.5.i. investīcijas īstenošanas noslēguma), ir plānots aktualizēt un pilnveidot to saturu, nodrošinot arī to uzturēšanu. Detalizētāks atbalstāmās darbības īstenošanas apraksts ietverts MK noteikumu Nr. 75 3.5.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profesionālā izglītība, pārkvalifikācija, kvalifikācijas paaugstināšana un ārpus formālās izglītības sistēmas apgūtās profesionālās kompetences novērtēšana. </w:t>
      </w:r>
      <w:r w:rsidR="00000000" w:rsidRPr="00000000" w:rsidDel="00000000">
        <w:rPr>
          <w:rtl w:val="0"/>
        </w:rPr>
        <w:t xml:space="preserve">Atbalstāmās darbības īstenošana sniedz iespēju bezdarbniekiem iegūt profesionālo kvalifikāciju. Pēc tālākizglītības programmas apguves bezdarbnieks kārto profesionālās kvalifikācijas eksāmenu. Bezdarbniekam, kurš nokārtojis profesionālās kvalifikācijas eksāmenu, saskaņā ar profesionālās izglītības ieguvi regulējošajiem normatīvajiem aktiem, izsniedz profesionālās kvalifikācijas apliecību. Programmas var īstenot arī modulārās izglītības programmas veidā, pēc to apguves bezdarbniekam izsniedz izglītību apliecinošu dokumentu (apliecību par attiecīgā moduļa vai moduļu apguvi) (MK noteikumu Nr. 75 21.</w:t>
      </w:r>
      <w:r w:rsidR="00000000" w:rsidRPr="00000000" w:rsidDel="00000000">
        <w:rPr>
          <w:vertAlign w:val="superscript"/>
          <w:rtl w:val="0"/>
        </w:rPr>
        <w:t xml:space="preserve">1 </w:t>
      </w:r>
      <w:r w:rsidR="00000000" w:rsidRPr="00000000" w:rsidDel="00000000">
        <w:rPr>
          <w:rtl w:val="0"/>
        </w:rPr>
        <w:t xml:space="preserve">apakšpunkts). Savukārt, profesionālās pilnveides izglītības programmu apguve dod iespēju pilnveidot profesionālo meistarību un apgūt mainīgajām darba tirgus prasībām atbilstošas sistematizētas profesionālās zināšanas un prasmes. Saskaņā ar profesionālās izglītības ieguvi regulējošajiem normatīvajiem aktiem, bezdarbniekam izsniedz profesionālās pilnveides izglītības apliecību. Bezdarbniekam ir iespēja saņemt otrajam, trešajam vai ceturtajam profesionālās kvalifikācijas līmenim atbilstošas ārpus formālās izglītības sistēmas apgūtās profesionālās kompetences novērtēšanu, nokārtojot profesionālās kvalifikācijas eksāmenu saskaņā ar normatīvajiem aktiem par kārtību, kādā novērtē ārpus formālās izglītības sistēmas iegūto profesionālo kompetenci. Šos izdevumus NVA atlīdzina bezdarbniekam viena mēneša laikā no dienas, kad saņemts iesniegums par profesionālās kompetences novērtēšanas izmaksu atlīdzināšanu. Detalizētāks atbalstāmās darbības īstenošanas apraksts ietverts MK noteikumu Nr. 75 21.1. un 21.2.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neformālās izglītības programmu apguve mērķa grupas personām. </w:t>
      </w:r>
      <w:r w:rsidR="00000000" w:rsidRPr="00000000" w:rsidDel="00000000">
        <w:rPr>
          <w:rtl w:val="0"/>
        </w:rPr>
        <w:t xml:space="preserve">Atbalstāmā darbība ietver mainīgajām darba tirgus prasībām atbilstošu sistematizētu sociālo un profesionālo pamatprasmju apguvi, noslēguma pārbaudījumu organizēšanu, tai skaitā valsts valodas prasmes pārbaudes eksāmenu. Pēc neformālās izglītības programmu apguves mērķa grupas persona saņem apliecību par neformālās izglītības programmas apguvi. Detalizētāks atbalstāmās darbības īstenošanas apraksts ietverts MK noteikumu Nr. 75 21.3.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transportlīdzekļu un traktortehnikas vadītāju mācības mērķa grupas personām. </w:t>
      </w:r>
      <w:r w:rsidR="00000000" w:rsidRPr="00000000" w:rsidDel="00000000">
        <w:rPr>
          <w:rtl w:val="0"/>
        </w:rPr>
        <w:t xml:space="preserve">Atbalstāmā darbība ietver mērķa grupas teorētisku un praktisku mācību, tai skaitā pirmās palīdzības kursu apguvi, transportlīdzekļu un traktortehnikas vadītāja kvalifikācijas iegūšanas eksāmenus. Detalizētāks atbalstāmās darbības īstenošanas apraksts ietverts MK noteikumu Nr. 75 21.5.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augstākās izglītības iestādes studiju moduļu vai studiju kursu apguve mērķa grupas personām. </w:t>
      </w:r>
      <w:r w:rsidR="00000000" w:rsidRPr="00000000" w:rsidDel="00000000">
        <w:rPr>
          <w:rtl w:val="0"/>
        </w:rPr>
        <w:t xml:space="preserve">Atbalstāmā darbība ietver izglītības programmas apguvi un izglītības apliecības saņemšanu akreditēta studiju virziena licencētas studiju programmas ietvaros un nodrošina sekmīgai iesaistei darba tirgū nepieciešamās mūžizglītības prasmes. Detalizētāks atbalstāmās darbības īstenošanas apraksts ietverts MK noteikumu Nr. 75 21.6.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atvērto tiešsaistes kursu platformā piedāvāto augstākās izglītības iestādes vai nozares uzņēmuma izstrādāto izglītības programmu apguve mērķa grupas personām.</w:t>
      </w:r>
      <w:r w:rsidR="00000000" w:rsidRPr="00000000" w:rsidDel="00000000">
        <w:rPr>
          <w:rtl w:val="0"/>
        </w:rPr>
        <w:t xml:space="preserve"> Atbalstāmā darbība ietver attiecīgās programmas apguvi un apliecinājuma dokumenta saņemšanu. Detalizētāks atbalstāmās darbības īstenošanas apraksts ietverts MK noteikumu Nr. 75 21.7.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praktiskās mācības bezdarbniekiem pie darba devēja (turpmāk – praktiskās mācības). </w:t>
      </w:r>
      <w:r w:rsidR="00000000" w:rsidRPr="00000000" w:rsidDel="00000000">
        <w:rPr>
          <w:rtl w:val="0"/>
        </w:rPr>
        <w:t xml:space="preserve">Atbalstāmās darbības mērķis ir piedāvāt iespēju personai apgūt praktiskās iemaņas darba vidē. Detalizētāks atbalstāmās darbības īstenošanas apraksts ietverts MK noteikumu Nr. 75 3.4.5.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komercdarbības vai pašnodarbinātības uzsākšana bezdarbniekiem. </w:t>
      </w:r>
      <w:r w:rsidR="00000000" w:rsidRPr="00000000" w:rsidDel="00000000">
        <w:rPr>
          <w:rtl w:val="0"/>
        </w:rPr>
        <w:t xml:space="preserve">Atbalsts bezdarbniekam komercdarbības vai pašnodarbinātības uzsākšanai aptver konsultatīvus un finanšu atbalsta pasākumus, kas palīdz bezdarbniekam uzsākt komercdarbību vai pašnodarbinātību un veiksmīgi darboties izvēlētajā jomā ne mazāk kā divus gadus (konsultācijas biznesa plāna sagatavošanā un  īstenošanā; izstrādāto biznesa plānu izvērtēšana un īstenošanas uzraudzība; finanšu atbalsts ikmēneša ienākumiem biznesa plāna īstenošanas sākumposmā (pirmajos sešos mēnešos); vienreizēja dotācija ar biznesa plāna īstenošanu saistīto pamatlīdzekļu iegādei un citiem izdevumiem, kas palīdz bezdarbniekiem uzsākt komercdarbību vai pašnodarbinātību un darboties izvēlētajā jomā ne mazāk kā divus gadus; vienreizēja dotācija darba vietas pielāgošanai bezdarbniekam ar invaliditāti iekārtu un aprīkojuma iegādei, kā arī tehnisko palīglīdzekļu izgatavošanai un iegādei, tai skaitā piegādei un uzstādīšanai). Detalizētāks atbalstāmās darbības īstenošanas apraksts ietverts MK noteikumu Nr. 75 3.6.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specifiski pakalpojumi mērķa grupas personām.</w:t>
      </w:r>
      <w:r w:rsidR="00000000" w:rsidRPr="00000000" w:rsidDel="00000000">
        <w:rPr>
          <w:rtl w:val="0"/>
        </w:rPr>
        <w:t xml:space="preserve"> Atbalstāmā darbība sniedz iespēju padalīties mācību pasākumos, tai skaitā personām ar dažāda veida invaliditāti. Atbalstāmās darbības, kurās iesaistoties personām ir iespēja saņemt šos pakalpojumus, noteiktas MK noteikumos Nr.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pasākumu dalībniekiem (izņemot dalību atvērtajos tiešsaistes kursos) ir plānots sniegt papildu atbalstu (atbilstoši kritērijiem un nosacījumiem, kas ir noteikti MK noteikumos Nr. 75) dalības laikā – segt atbalsta personāla (surdotulka, ergoterapeita) pakalpojumu un darba vietas pielāgošanas izmaksas, iesaistoties praktiskajās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BDMAL 6. panta devītajai daļai surdotulka pakalpojuma sniegšanai NVA slēdz deleģējuma līgumu ar Latvijas Nedzirdīgo savienību. 4.3.3.1. pasākuma ietvaros surdotulka pakalpojuma izmaksas attiecināmas, ja Latvijas Nedzirdīgo savienība surdotulka pakalpojumu personai tam pašam mērķim vienlaikus nesniedz cita finanšu avota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atbalsts bezdarbnieku reģionālajai mobilitātei. </w:t>
      </w:r>
      <w:r w:rsidR="00000000" w:rsidRPr="00000000" w:rsidDel="00000000">
        <w:rPr>
          <w:rtl w:val="0"/>
        </w:rPr>
        <w:t xml:space="preserve">Atbalstāmās darbības mērķis ir sniegt finansiālu atbalstu bezdarbniekam, ja mācību vieta atrodas tālāk no deklarētās dzīvesvietas. Detalizētāks atbalstāmās darbības īstenošanas apraksts ietverts MK noteikumu Nr. 75 5.</w:t>
      </w:r>
      <w:r w:rsidR="00000000" w:rsidRPr="00000000" w:rsidDel="00000000">
        <w:rPr>
          <w:vertAlign w:val="superscript"/>
          <w:rtl w:val="0"/>
        </w:rPr>
        <w:t xml:space="preserve">1 </w:t>
      </w:r>
      <w:r w:rsidR="00000000" w:rsidRPr="00000000" w:rsidDel="00000000">
        <w:rPr>
          <w:rtl w:val="0"/>
        </w:rPr>
        <w:t xml:space="preserve">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TA projekta 16.2. un 16.3. apakšpunktā minēto izglītības iestāžu  uzraudzība un mācību procesa kvalitātes kontrole.</w:t>
      </w:r>
      <w:r w:rsidR="00000000" w:rsidRPr="00000000" w:rsidDel="00000000">
        <w:rPr>
          <w:rtl w:val="0"/>
        </w:rPr>
        <w:t xml:space="preserve"> Atbalstāmās darbības ietvaros tiks piesaistīts IKVD, lai uzraudzītu un izvērtētu mācību kvalitāti (tai skaitā privāto izglītības iestāžu) atbilstoši izglītības kvalitāti reglamentējošajiem normatīvajiem aktiem, kā arī, lai veiktu attālināti īstenoto izglītības programmu ekspertīzi, metodoloģisko vadību un ieviešanas uzraudzību. Detalizētāks atbalstāmās darbības īstenošanas apraksts ietverts MK noteikumu Nr. 75 34.</w:t>
      </w:r>
      <w:r w:rsidR="00000000" w:rsidRPr="00000000" w:rsidDel="00000000">
        <w:rPr>
          <w:vertAlign w:val="superscript"/>
          <w:rtl w:val="0"/>
        </w:rPr>
        <w:t xml:space="preserve">5</w:t>
      </w:r>
      <w:r w:rsidR="00000000" w:rsidRPr="00000000" w:rsidDel="00000000">
        <w:rPr>
          <w:rtl w:val="0"/>
        </w:rPr>
        <w:t xml:space="preserve">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BURVIS pilnveide. </w:t>
      </w:r>
      <w:r w:rsidR="00000000" w:rsidRPr="00000000" w:rsidDel="00000000">
        <w:rPr>
          <w:rtl w:val="0"/>
        </w:rPr>
        <w:t xml:space="preserve">Atbalstāmās darbības ietvaros plānots pēc nepieciešamības piemērot mācību izmaksu metodikas izmaiņas un izmaiņas normatīvajos aktos par aktīvo nodarbinātības pasākumu un preventīvo bezdarba samazināšanas pasākumu organizēšanas un finansēšanas kārtību un pasākumu īstenotāju izvēles principiem (veicot jaunus BURVIS pielāgojumus). Skatīt informāciju arī TA anotācijā demarkācija un papildināmības ar citiem finanšu instrumentiem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informatīvi izglītojošo pasākumu un sabiedrības izpratnes un informētības veicināšanas pasākumu īstenošana mērķa grupas kvalifikācijas un prasmju paaugstināšanas jomā </w:t>
      </w:r>
      <w:r w:rsidR="00000000" w:rsidRPr="00000000" w:rsidDel="00000000">
        <w:rPr>
          <w:rtl w:val="0"/>
        </w:rPr>
        <w:t xml:space="preserve">(ietverot jebkuru 4.3.3.1. pasākuma atbalstāmo darbību mērķa grupas personām)</w:t>
      </w:r>
      <w:r w:rsidR="00000000" w:rsidRPr="00000000" w:rsidDel="00000000">
        <w:rPr>
          <w:b w:val="1"/>
          <w:rtl w:val="0"/>
        </w:rPr>
        <w:t xml:space="preserve">. </w:t>
      </w:r>
      <w:r w:rsidR="00000000" w:rsidRPr="00000000" w:rsidDel="00000000">
        <w:rPr>
          <w:rtl w:val="0"/>
        </w:rPr>
        <w:t xml:space="preserve">Atbalstāmās darbības ietvaros tiks īstenoti pasākumi mērķa grupas, darba devēju, izglītības iestāžu, citu atbalstāmo darbību īstenotāju un sabiedrības izpratnes kopumā par īstenotajām atbalstāmajām darbībām veicināšanai, dalībnieku un atbalstāmo darbību īstenotāju piesaistei (publikācijas, informācija elektroniskajā vidē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pasākumi komunikācijas un vizuālās identitātes prasību nodrošināšanai.</w:t>
      </w:r>
      <w:r w:rsidR="00000000" w:rsidRPr="00000000" w:rsidDel="00000000">
        <w:rPr>
          <w:rtl w:val="0"/>
        </w:rPr>
        <w:t xml:space="preserve"> Atbalstāmās darbība ietvaros tiks nodrošināti komunikācijas un vizuālās identitātes pasākumi, kas noteikti regulas Nr. 2021/1060 47. un 50. pantā un atbilstoši normatīvajiem aktiem par kārtību, kādā ES fondu vadībā iesaistītās institūcijas nodrošina šo fondu ieviešanu 2021.–2027. gada plānošanas periodā, kā arī ievērojot ES fondu 2021.–2027. gada un AF komunikācijas un dizaina vadlīnijās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pasākumā darba vietu pielāgošanas izmaksas personām ar invaliditāti neietver individuālos tehniskos palīglīdzekļus, kurus personas saņem saskaņā ar 2021. gada 21. decembra MK noteikumiem Nr. 878 “Tehnisko palīglīdzekļu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atbalstāmo darbību klāstā nav plānots turpināt īstenot 3.1.2.5.i. investīcijas ietvaros īstenotās karjeras konsultācijas, jo tās tiek īstenotas NVA pamatdarbības ietvaros un praktiskās mācības ar nozaru asociāciju iesaisti, jo secināts, ka tām nav pieprasījuma. Rodoties pieprasījumam, indikatīvi plānots praktiskās mācības ar nozaru asociāciju iesaisti finansēt no NVA nodarbinātības speciālā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NVA mērķa grupas prasmju novērtēšanai plānots piemērot 3.1.2.5.i. investīcijas ietvaros izstrādāto digitālo rīku, kurš tiek izmantots, t.sk., kā bezdarbnieku profilēšanas sastāvdaļa (piemēram, prasmes var tikt vērtētas atkārtoti, ja persona atgriezās darba tirgū un pēc vairākiem gadiem nokļūst bezdarba situācijā un profilēšanas rezultātā viņai tiek ieteikts iesaistīties mācību pasākumos). Digitālais rīks prasmju novērtēšanai ir pieejams https://testi.ekarjera.lv/ un ietver divus testus: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tests "Prasmju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https://testi.ekarjera.lv/tests/prasmju-novertesana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tests "Prasmju novērtēšana darbam dažādos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https://testi.ekarjera.lv/tests/prasmju-novertesana-darbam-dazados-apstaklos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projekta vadība un īstenošana.</w:t>
      </w:r>
      <w:r w:rsidR="00000000" w:rsidRPr="00000000" w:rsidDel="00000000">
        <w:rPr>
          <w:rtl w:val="0"/>
        </w:rPr>
        <w:t xml:space="preserve"> Atbalstāmās darbības ietvaros paredzēta projekta vadības un īstenošanas nodrošināšana, ko veiks projekta vadības personāls (indikatīvi 25 vadības personāla slodzes) un īstenošanas personāls (indikatīvi 43 īstenošanas personāla slodzes, no tām 4 IKVD personāla slodzes), kopā – 68 personāla slodzes. TA projektā ar vienu veselu slodzi saprot Darba likumā noteikto normālo darba laiku – 40 stundas nedēļā. Plānotais finansējums personāla izmaksām veido indikatīvi </w:t>
      </w:r>
      <w:r w:rsidR="00000000" w:rsidRPr="00000000" w:rsidDel="00000000">
        <w:rPr>
          <w:b w:val="1"/>
          <w:rtl w:val="0"/>
        </w:rPr>
        <w:t xml:space="preserve">7 452 511 </w:t>
      </w:r>
      <w:r w:rsidR="00000000" w:rsidRPr="00000000" w:rsidDel="00000000">
        <w:rPr>
          <w:b w:val="1"/>
          <w:i w:val="1"/>
          <w:rtl w:val="0"/>
        </w:rPr>
        <w:t xml:space="preserve">euro</w:t>
      </w:r>
      <w:r w:rsidR="00000000" w:rsidRPr="00000000" w:rsidDel="00000000">
        <w:rPr>
          <w:rtl w:val="0"/>
        </w:rPr>
        <w:t xml:space="preserve"> atlīdzībām (ietver arī veselības apdrošināšanas izmaksas), tajā skaitā 488 060 euro IKVD personālam, un paredzēts kā regulas 2021/1060 55. panta 1. punktā noteiktā vienotā likme 20 procentu apmērā no pārejām tiešajām attiecināmajām izmaksām, kas nav atbalstāmo darbību personāla izmaksas. Norādītās projekta personāla izmaksas ir nepieciešamas, lai nodrošinātu 4.3.3.1. pasākuma mērķa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Vienotās likmes aprēķins balstīts uz šādiem pamatprincipiem, un tas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taisnīgs – likmes aprēķins balstās uz normatīvajiem aktiem par valsts un pašvaldību institūciju amatpersonu un darbinieku atlīdzību, pieņēmumiem par atlīdzības noteikšanas principiem projekta īstenošanas laikam (2026. gadā un turpmāko gadu atlīdzībām plānots 2025. gada viduspunkts), projekta personāla plānojumu (amatu klasifikāciju, skaitu, mēnešalgas grupu) un plānoto noslodzi 4.3.3.1. pasākuma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objektīvs – 4.3.3.1. pasākuma projektā paredzētajam finansējuma saņēmējam un sadarbības partnerim personāla izmaksu aprēķins tiek balstīts uz vienādiem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pārbaudāms – likmes aprēķins balstās uz normatīvajiem aktiem par valsts un pašvaldību institūciju amatpersonu un darbinieku atlīdzību, pieņēmumiem par atlīdzības noteikšanas principiem projekta īstenošanas laikam (2026. gada atlīdzībām un turpmākajiem gadiem atlīdzībām plānots 2025. gada viduspunkts), projekta personāla plānojumu (amatu klasifikācija, skaits, mēnešalgas grupa) un noslodzi 4.3.3.1. pasākuma projekta īstenošanā. Likmes aprēķins ir sagatavots Excel formātā, detalizēti norādot finansējuma saņēmēja un sadarbības partnera projekta vadības un īstenošanas personālu, tā amata klasifikāciju, mēnešalgu grupu, plānoto atlīdzības apmēru. Likmes aprēķins ir pārbaudīts un nosūtīts FM. 2025. gada 10. oktobrī no FM kā vadošās iestādes ir saņemts e-pasts par to, ka FM kā vadošā iestāde pieņem zināšanai LM sagatavotos aprēķinus. Par TA projektā ietverto likmes procentuālo apmēru un aprēķiniem nav saņemti papildu komentāri, līdz ar to ar FM kā vadošo iestādi ir saskaņots 4.3.3.1. pasākuma personāla likmes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noteikts – 4.3.3.1. pasākuma projekta īstenošanas likmes piemērošanas nosacījumi tiek noteikti šajā 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Likmes aprēķinu pamato šādi normatīvie akti un informācijas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institūciju amatpersonu un darbinieku atlīdzības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2022. gada 26. aprīļa noteikumi Nr. 262 "Valsts un pašvaldību institūciju amatu katalogs, amatu klasifikācijas un amatu apraksta izstrādāšanas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2022. gada 21. jūnija noteikumi Nr. 361 "Noteikumi par valsts institūciju amatpersonu un darbinieku darba samaksu un tās noteikšanas kārtību, kā arī par profesijām un specifiskajām jomām, kurām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2017. gada 28. februāra noteikumi Nr. 105 "Noteikumi par publisko iepirkumu līgumcenu robežvērtībām" (2. vai 3. punktā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iekšējie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IKVD iekšējie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Atbildīgās iestādes pieņēmumi par atlīdzības noteikšanas principiem projekta īstenošanas laikam (2026. gada atlīdzībām un turpmākajiem gadiem atlīdzībām plānots 2025. gada viduspunkts) un NVA un IKVD pieņēmumiem un informāciju par 4.3.3.1. pasākuma projekta īstenošanā iesaistītā projekta personāla noslodzi, amata saimi, līmeni un mēnešalgu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 2020. gada plānošanas periodā finansējuma saņēmējs (NVA) īstenoja 7.1.1. projektu. 7.1.1. projekts  bija līdzīgs gan saturiski (atbalstāmās darbības tādas kā plānotas 4.3.3.1. pasākuma projektā, tikai papildus tika īstenots karjeras konsultāciju pakalpojums, savukārt 4.3.3.1. pasākuma projektā papildus ir paredzēta atbalstāmā darbība – pasākumi komercdarbības vai pašnodarbinātības uzsākšanai), gan finansiāli (115 991 069,01 </w:t>
      </w:r>
      <w:r w:rsidR="00000000" w:rsidRPr="00000000" w:rsidDel="00000000">
        <w:rPr>
          <w:i w:val="1"/>
          <w:rtl w:val="0"/>
        </w:rPr>
        <w:t xml:space="preserve">euro</w:t>
      </w:r>
      <w:r w:rsidR="00000000" w:rsidRPr="00000000" w:rsidDel="00000000">
        <w:rPr>
          <w:rtl w:val="0"/>
        </w:rPr>
        <w:t xml:space="preserve"> deviņos gados (2015. – 2023.g.), vidēji izmaksas 12 887 896,56 </w:t>
      </w:r>
      <w:r w:rsidR="00000000" w:rsidRPr="00000000" w:rsidDel="00000000">
        <w:rPr>
          <w:i w:val="1"/>
          <w:rtl w:val="0"/>
        </w:rPr>
        <w:t xml:space="preserve">euro</w:t>
      </w:r>
      <w:r w:rsidR="00000000" w:rsidRPr="00000000" w:rsidDel="00000000">
        <w:rPr>
          <w:rtl w:val="0"/>
        </w:rPr>
        <w:t xml:space="preserve"> gadā). 7.1.1. projektā bija noteiktas 35 projekta vadības personāla slodzes un 86 projekta īstenošanas personāla slodzes (līdzvērtīgi amata pienākumi projekta koordinatoriem).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periodā no 2023. gada oktobra līdz 2026. gada jūnijam NVA īsteno 3.1.2.5.i. investīcijas projektu. Arī 3.1.2.5.i. investīcijas projekts saturiski un finansiāli ir līdzīgs gan 7.1.1. projektam, gan plānotajam 4.3.3.1. pasākuma projektam, t.i., 3.1.2.5.i. investīcijas projekts ietver tās pašas atbalstāmās darbības, kuras plānotas 4.3.3.1. pasākuma projektā, izņemot karjeras konsultācijas un pasākumus komercdarbības vai pašnodarbinātības uzsākšanai, paredzot investīciju apjomu 30 153 584 </w:t>
      </w:r>
      <w:r w:rsidR="00000000" w:rsidRPr="00000000" w:rsidDel="00000000">
        <w:rPr>
          <w:i w:val="1"/>
          <w:rtl w:val="0"/>
        </w:rPr>
        <w:t xml:space="preserve">euro</w:t>
      </w:r>
      <w:r w:rsidR="00000000" w:rsidRPr="00000000" w:rsidDel="00000000">
        <w:rPr>
          <w:rtl w:val="0"/>
        </w:rPr>
        <w:t xml:space="preserve"> 2,5 gados, vidēji 12 061 433,6 </w:t>
      </w:r>
      <w:r w:rsidR="00000000" w:rsidRPr="00000000" w:rsidDel="00000000">
        <w:rPr>
          <w:i w:val="1"/>
          <w:rtl w:val="0"/>
        </w:rPr>
        <w:t xml:space="preserve">euro</w:t>
      </w:r>
      <w:r w:rsidR="00000000" w:rsidRPr="00000000" w:rsidDel="00000000">
        <w:rPr>
          <w:rtl w:val="0"/>
        </w:rPr>
        <w:t xml:space="preserve"> gadā. 3.1.2.5.i. investīcijas projektā noteiktas 31 projekta vadības personāla slodze un 41 projekta īstenošanas personāla slodze (t.sk. 4 slodzes ir sadarbības partnerim IKVD). 4.3.3.1. pasākuma projektā (vidēji plānots investēt 11 962 500 </w:t>
      </w:r>
      <w:r w:rsidR="00000000" w:rsidRPr="00000000" w:rsidDel="00000000">
        <w:rPr>
          <w:i w:val="1"/>
          <w:rtl w:val="0"/>
        </w:rPr>
        <w:t xml:space="preserve">euro</w:t>
      </w:r>
      <w:r w:rsidR="00000000" w:rsidRPr="00000000" w:rsidDel="00000000">
        <w:rPr>
          <w:rtl w:val="0"/>
        </w:rPr>
        <w:t xml:space="preserve"> gadā, papildus īstenojot jaunu atbalstāmo darbību – pasākumi komercdarbības vai pašnodarbinātības uzsākšanai) tiek plānotas 25 projekta vadības personāla slodzes (ietverot arī 1 vecākā  eksperta slodzi  pasākumu komercdarbības vai pašnodarbinātības uzsākšanai administrēšanai) un 43 īstenošanas personāla slodzes (ietverot arī 2 projekta koordinatoru slodzes pasākumu komercdarbības vai pašnodarbinātības uzsākšanai īstenošanai), t.sk. 4 IKVD speciālistu slodzes. 4.3.3.1. pasākuma projektā projekta vadības un īstenošanas personāls nodrošinās funkciju veikšanu tikai projekta atbalstāmo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7.1.1. projekts, gan 3.1.2.5.i. investīcijas projekts, gan arī plānotais 4.3.3.1. pasākuma projekts tiek īstenots visā Latvijas teritorijā, un NVA ar tās 20 filiālēm katru gadu mācību pasākumos iesaista aptuveni 18 000 mērķa grupas personas. Attiecīgi ir aprēķināts, ka 4.3.3.1. pasākuma projekta īstenošanai ir nepieciešamas 68 personāla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minētajiem normatīvajiem aktiem un informācijas avotiem projekta vadībai un īstenošanai plānots piesaistīt šādu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NVA personāls: </w:t>
      </w:r>
      <w:r w:rsidR="00000000" w:rsidRPr="00000000" w:rsidDel="00000000">
        <w:rPr>
          <w:rtl w:val="0"/>
        </w:rPr>
        <w:t xml:space="preserve">projekta vadītājs – 1 slodze (39.1. amatu saime, V līmenis, 12. mēnešalgu grupa), vecākais eksperts – 2 slodzes (39.1. amatu saime, IVA līmenis, 11. mēnešalgu grupa), vecākais eksperts – 9 slodzes (39.1. amatu saime, III līmenis, 10. mēnešalgu grupa), juriskonsults – 1 slodze (24. amatu saime, II līmenis, 10. mēnešalgas grupa), vecākais eksperts – 4 slodzes (39.1. amatu saime, IIA līmenis, 9. mēnešalgu grupa), vadošais ekonomists – 1 slodze (15.1. amatu saime, III līmenis, 10. mēnešalgu grupa), vecākais ekonomists – 1 slodze (15.1. amatu saime, II līmenis, 9. mēnešalgu grupa), vecākais finanšu speciālists – 5 slodzes (15.1. amatu saime, IA līmenis, 8. mēnešalgu grupa), vecākais statistiķis – 1 slodze (20.6. amatu saime, II līmenis, 9. mēnešalgu grupa), projekta koordinators (īstenošanas personāls) – 39 slodzes (39.1. amatu saime, I līmenis, 8.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IKVD (sadarbības partnera) personāls:</w:t>
      </w:r>
      <w:r w:rsidR="00000000" w:rsidRPr="00000000" w:rsidDel="00000000">
        <w:rPr>
          <w:rtl w:val="0"/>
        </w:rPr>
        <w:t xml:space="preserve"> projekta koordinators – 1 slodze (39.1. amatu saime, III līmenis, 10. mēnešalgu grupa), vecākais eksperts – 3 slodzes (39.1. amatu saime, IIB līmenis, 9.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piemērošanā projekta īstenošanas laikā netiks pārbaudīts, vai faktiskā personāla piesaiste atbilst likmes aprēķinam. Tāpat likmes aprēķinā iekļautā informācija nav tieši izmantojama projekta īstenošanai nepieciešamā valsts budžeta līdzekļu plānošanai, jo likmes aprēķins ir balstīts uz pieņēmumiem (proti, tā ir personāla un tam nepieciešamā finansējuma prognoze).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Likmē iekļautās finansējuma saņēmēja un sadarbības partnera projekta īstenošanas un vadības personāla izmaksas, tai skaitā veselības apdrošināšanas izmaksas nav iekļautas nevienā citā 4.3.3.1. pasākuma izmaksu pozīcijā. Līdz ar to tiek nodrošināta likmē iekļauto izmaksu nošķiršana no citām izmaksām, kas paredzētas 4.3.3.1. pasākuma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tiešo attiecināmo izmaksu pozīciju uzskaitījums ir ietverts TA projekta 18. punktā. Galvenās no tām ietver projekta personāla izmaksas: finansējuma saņēmēja projekta vadības un projekta īstenošanas personāla izmaksas un sadarbības partnera projekta īstenošanas personāla izmaksas (detalizētu aprakstu skatīt augstāk); mērķa grupas nodrošinājuma izmaksas, tostarp, TA projekta 16.10. apakšpunktā minētās atbalstāmās darbības īstenošanai bezdarbniekiem, kuri piedalās TA projekta 16.2.1., 16.2.2., 16.3., 16.4., 16.5. un 16.7. apakšpunktā minētajās atbalstāmajās darbībās, piemērojot vadošās iestādes izstrādāto vienas vienības izmaksu standarta likmes aprēķina un piemērošanas metodiku 1 km izmaksām transporta izdevumu segšanai, un izdevumiem par dzīvojamās telpas īri vai dienesta viesnīcu, stipendijas izmaksas bezdarbniekiem, kuri piedalās TA projekta 16.2.1., 16.2.2., 16.3., 16.4. un 16.5. apakšpunktā minētajās atbalstāmajās darbībās un pārējās projekta īstenošanas izmaksas, tostarp, mācību kupona izmaksas, piemērojot mācību izmaksu metodiku, iekšzemes komandējumu un darba braucienu izmaksas finansējuma saņēmēja projekta vadības un projekta īstenošanas personālam, izmaksas sadarbības partnera īstenošanas personālam TA projekta 16. punktā minēto atbalstāmo darbību īstenošanai. Iekšzemes komandējumu un darba braucienu izmaksām tiks piemērota vadošās iestādes izstrādātā 1 km izmaksu metodika un vienas vienības izmaksu standarta likmes aprēķina un piemērošanas metodika iekšzemes komandējumu izmaksām. TA projektā paredzētas arī iepirkumu līgumu izmaksas. Atbalstāmo darbību īstenošanai NVA (atbilstoši TA projektā paredzētajam) slēdz iepirkumu līgumus. Ar iepirkumu līgumiem 4.3.3.1. pasākuma ietvaros saprot: iepirkumu līgumus, kuriem piemēro PIL nosacījumus un arī tos līgumus, kuriem nepiemēro PIL nosacījumus. Iepirkumu līgumi atbalstāmo darbību īstenošanas ietvaros ir pakalpojuma (tai skaitā uzņēmumu) līgumi un piegādes (tai skaitā pirkumu) līgumi (saskaņā ar PIL 1. panta 27. un 28. apakšpunktu). Izglītības iestādes un darba devējus NVA izvēlas atbilstoši MK Nr. 75 noteiktajai pasākumu īstenotāju izvēles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aprakstīto TA projektā pardzēto atbalstāmo darbību īstenošanai paredzēti indikatīvi </w:t>
      </w:r>
      <w:r w:rsidR="00000000" w:rsidRPr="00000000" w:rsidDel="00000000">
        <w:rPr>
          <w:b w:val="1"/>
          <w:rtl w:val="0"/>
        </w:rPr>
        <w:t xml:space="preserve">44 719 626</w:t>
      </w:r>
      <w:r w:rsidR="00000000" w:rsidRPr="00000000" w:rsidDel="00000000">
        <w:rPr>
          <w:b w:val="1"/>
          <w:i w:val="1"/>
          <w:rtl w:val="0"/>
        </w:rPr>
        <w:t xml:space="preserve"> </w:t>
      </w:r>
      <w:r w:rsidR="00000000" w:rsidRPr="00000000" w:rsidDel="00000000">
        <w:rPr>
          <w:b w:val="1"/>
          <w:i w:val="1"/>
          <w:rtl w:val="0"/>
        </w:rPr>
        <w:t xml:space="preserve">euro</w:t>
      </w:r>
      <w:r w:rsidR="00000000" w:rsidRPr="00000000" w:rsidDel="00000000">
        <w:rPr>
          <w:b w:val="1"/>
          <w:rtl w:val="0"/>
        </w:rPr>
        <w:t xml:space="preserve"> tiešās attiecināmās izmaksas</w:t>
      </w:r>
      <w:r w:rsidR="00000000" w:rsidRPr="00000000" w:rsidDel="00000000">
        <w:rPr>
          <w:rtl w:val="0"/>
        </w:rPr>
        <w:t xml:space="preserve">, no tām indikatīvi</w:t>
      </w:r>
      <w:r w:rsidR="00000000" w:rsidRPr="00000000" w:rsidDel="00000000">
        <w:rPr>
          <w:b w:val="1"/>
          <w:rtl w:val="0"/>
        </w:rPr>
        <w:t xml:space="preserve"> 7 452 511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projekta personāla atlīdzības izmaksas un indikatīvi </w:t>
      </w:r>
      <w:r w:rsidR="00000000" w:rsidRPr="00000000" w:rsidDel="00000000">
        <w:rPr>
          <w:b w:val="1"/>
          <w:rtl w:val="0"/>
        </w:rPr>
        <w:t xml:space="preserve">30 720 </w:t>
      </w:r>
      <w:r w:rsidR="00000000" w:rsidRPr="00000000" w:rsidDel="00000000">
        <w:rPr>
          <w:b w:val="1"/>
          <w:i w:val="1"/>
          <w:rtl w:val="0"/>
        </w:rPr>
        <w:t xml:space="preserve">euro</w:t>
      </w:r>
      <w:r w:rsidR="00000000" w:rsidRPr="00000000" w:rsidDel="00000000">
        <w:rPr>
          <w:rtl w:val="0"/>
        </w:rPr>
        <w:t xml:space="preserve"> izmaksas projekta vadības un īstenošanas personāla komandējumiem (tajā skaitā 15 360</w:t>
      </w:r>
      <w:r w:rsidR="00000000" w:rsidRPr="00000000" w:rsidDel="00000000">
        <w:rPr>
          <w:i w:val="1"/>
          <w:rtl w:val="0"/>
        </w:rPr>
        <w:t xml:space="preserve"> euro</w:t>
      </w:r>
      <w:r w:rsidR="00000000" w:rsidRPr="00000000" w:rsidDel="00000000">
        <w:rPr>
          <w:rtl w:val="0"/>
        </w:rPr>
        <w:t xml:space="preserve"> IKVD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indikatīvās izmaksas (izņemot projekta personāla atlīdzības izmaksas), ņemtas vērā 2024. gada izmaksas, īstenojot 3.1.2.5.i.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Netiešās izmaksas</w:t>
      </w:r>
      <w:r w:rsidR="00000000" w:rsidRPr="00000000" w:rsidDel="00000000">
        <w:rPr>
          <w:rtl w:val="0"/>
        </w:rPr>
        <w:t xml:space="preserve"> plānotas</w:t>
      </w:r>
      <w:r w:rsidR="00000000" w:rsidRPr="00000000" w:rsidDel="00000000">
        <w:rPr>
          <w:b w:val="1"/>
          <w:rtl w:val="0"/>
        </w:rPr>
        <w:t xml:space="preserve"> 3 130 374</w:t>
      </w:r>
      <w:r w:rsidR="00000000" w:rsidRPr="00000000" w:rsidDel="00000000">
        <w:rPr>
          <w:b w:val="1"/>
          <w:i w:val="1"/>
          <w:rtl w:val="0"/>
        </w:rPr>
        <w:t xml:space="preserve"> euro</w:t>
      </w:r>
      <w:r w:rsidR="00000000" w:rsidRPr="00000000" w:rsidDel="00000000">
        <w:rPr>
          <w:rtl w:val="0"/>
        </w:rPr>
        <w:t xml:space="preserve">, piemērojot vienoto likmi septiņu procentu apmērā no 4.3.3.1 pasākuma projekta tiešajām izmaksām (t.i., TA projekta 17.1. apakšpunktā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plānotas atbilstoši regulas 2021/1060 54. panta a) apakšpunktam un vadošās iestādes vadlīniju Nr. 1.2. "Vadlīnijas attiecināmo izmaksu noteikšanai Eiropas Savienības kohēzijas politikas programmas 2021.-2027.gada plānošanas periodā " 5.2.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projekta īstenošanas laikā, rodoties nepieciešamībai, šīs izmaksas var tikt izmantotas arī atbalstāmo darbību īstenošanai, ja tām plānotais finansējums būs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kā atbildīgā iestāde, izvērtējot vienkāršoto izmaksu piemērošanas iespējas un lietderību, kā arī faktu, ka 4.3.3.1. pasākuma finansējuma saņēmējs ir valsts iestāde – NVA, kura ir vienīgais finansējuma saņēmējs un organizēs 4.3.3.1. pasākuma ietvaros paredzēto atbalstāmo darbību īstenošanu, papildus jau TA projektā minētajām, citu vienkāršoto izmaksu piemērošanu šobrīd neplāno.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4.3.3.1. pasākumā ir plānots iesaistīt indikatīvi </w:t>
      </w:r>
      <w:r w:rsidR="00000000" w:rsidRPr="00000000" w:rsidDel="00000000">
        <w:rPr>
          <w:b w:val="1"/>
          <w:i w:val="1"/>
          <w:rtl w:val="0"/>
        </w:rPr>
        <w:t xml:space="preserve">37 312 unikālās personas</w:t>
      </w:r>
      <w:r w:rsidR="00000000" w:rsidRPr="00000000" w:rsidDel="00000000">
        <w:rPr>
          <w:rtl w:val="0"/>
        </w:rPr>
        <w:t xml:space="preserve"> (indikatīvi 3 000 bezdarba riskam pakļautās personas, indikatīvi 1 000 darba meklētājus un indikatīvi 33 312 reģistrētus bezdarbniekus) jeb nodrošināt kopumā indikatīvi 56 874 dalības (atbilstoši spēkā esošajam regulējumam, kurš noteikts MK noteikumu Nr. 75 6. punktā, viena persona var piedalīties vairākās atbalstāmajās darbībās, līdz ar to viena unikālā persona piedalīsies atbalstāmajās darbībās vidēji 1,5 reizes. Dalībās nav ieskaitīti surdotulku, ergoterapeitu un reģionālās mobilitātes atbalsta pasākumu dalībnieki, jo šie pasākumi ir papildinošs atbalsts un veicina iesaisti mācību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pasākumam būs netieša pozitīva ietekme uz horizontālo principu "Vienlīdzība, iekļaušana, nediskriminācija un pamattiesību ievērošana" (skat. skaidrojumu anotācijas 8. punktā "Horizontālā ietekme"). Savukārt uz horizontālajiem principiem "Klimatdrošināšana", "Energoefektivitāte pirmajā vietā" un "Nenodarīt būtisku kaitējumu" 4.3.3.1.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Ar komercdarbības atbalstu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atbalstāmās darbības – praktiskās mācības (TA projekta 16.7. apakšpunkts) un komercdarbības vai pašnodarbinātības uzsākšana (TA projekta 16.8.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16.7. apakšpunktā minēto praktisko mācību ietvaros saimnieciskās darbības veicējiem paredzētas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ikmēneša darba algas dotācijas;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sociālās apdrošināšanas obligātās iemaksas (turpmāk – VSAOI) no algas dotācijas;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ikmēneša dotācijas darba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vienreizēja dotācija darba vietas pielāgošanai bezdarbniekam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individuālo aizsardzības līdzekļu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teorētisko mācību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16.8. apakšpunktā minētā pasākuma komercdarbības vai pašnodarbinātības ietvaros saimnieciskās darbības veicējam (bezdarbnieks, iesaistoties pasākumā, kļūst par saimnieciskās darbības veicēju (duālais statuss)) paredzētas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dotācija ikmēneša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vienreizēja dotācija ar biznesa plāna īstenošanu saistīto pamatlīdzekļu iegādei un citu ar to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vienreizēja dotācija darba vietas pielāgošanai bezdarbniekam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minētās izmaksas atbilstoši Komercdarbības atbalsta kontroles likuma 5. pantā noteiktajām raksturojošam pazīmēm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finansiālu atbalstu tieši sniedz no ES un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saņemot finansiālu atbalstu, saimnieciskās darbības veicēji gūst priekšrocības, jo tiek segtas augstākminētās izmaksas, kas citiem saimnieciskās darbības veicējiem jāsedz pašiem;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finansiālā palīdzība neattiecas uz visiem saimnieciskās darbības veicējiem vienādi,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4.3.3.1. pasākumam ir ierobežots finansējums, kas ierobežo saimnieciskās darbības veicēju skaitu, kas var piedalīties atbalstāmo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atbilstoši MK noteikumu Nr. 75 109.21 apakšpunktam uz atbalstu nevar pretendēt ārstniecības iestādes, kurās valsts vai pašvaldības daļa pamatkapitālā atsevišķi vai kopumā pārsniedz 50 %, kā arī izglītības iestādes, kuru pamatuzdevums ir izglītības programmu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atbilstoši MK noteikumu Nr. 75 108. punktam NVA izstrādā darba devēju (saimnieciskās darbības veicēju) atlases kārtību, kas ietver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finansiālas atbalsts hipotētiski ietekmē tirdzniecību ES, jo saimnieciskās darbības veicēji, kuri nesaņēma atbalstu, varētu būt nelabvēlīgākā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izpildās visas komercdarbības atbalsta pazīmes, finansiāla atbalsta sniegšanai piemērots</w:t>
      </w:r>
      <w:r w:rsidR="00000000" w:rsidRPr="00000000" w:rsidDel="00000000">
        <w:rPr>
          <w:i w:val="1"/>
          <w:rtl w:val="0"/>
        </w:rPr>
        <w:t xml:space="preserve"> de minimis </w:t>
      </w:r>
      <w:r w:rsidR="00000000" w:rsidRPr="00000000" w:rsidDel="00000000">
        <w:rPr>
          <w:rtl w:val="0"/>
        </w:rPr>
        <w:t xml:space="preserve">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komercdarbības atbalstu saistītie nosacījumi augstāk minēto atbalstāmo darbību ietvaros tiek īstenoti atbilstoši MK noteikumos Nr. 75, TA projektā noteiktajam un atbilstoši līdzšinējai pieredzei 3.1.2.5.i investīcijas ietvaros. Tostarp finanšu atbalstu NVA, pieņemot lēmumu par </w:t>
      </w:r>
      <w:r w:rsidR="00000000" w:rsidRPr="00000000" w:rsidDel="00000000">
        <w:rPr>
          <w:i w:val="1"/>
          <w:rtl w:val="0"/>
        </w:rPr>
        <w:t xml:space="preserve">de minimis</w:t>
      </w:r>
      <w:r w:rsidR="00000000" w:rsidRPr="00000000" w:rsidDel="00000000">
        <w:rPr>
          <w:rtl w:val="0"/>
        </w:rPr>
        <w:t xml:space="preserve"> atbalsta piešķiršanu, dotācijas veidā piešķir saimnieciskās darbības veicējam TA projekta 18.2.5. un 18.3.6.  apakšpunktā paredzētajām izmaksām saskaņā ar Komisijas 2023. gada 13. decembra Regulu (ES) 2023/2831 par Līguma par ES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2023. gada 15. decembris, Nr. L 2023/2831) un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NVA jau ir izstrādāta procedūra </w:t>
      </w:r>
      <w:r w:rsidR="00000000" w:rsidRPr="00000000" w:rsidDel="00000000">
        <w:rPr>
          <w:i w:val="1"/>
          <w:rtl w:val="0"/>
        </w:rPr>
        <w:t xml:space="preserve">de minimis</w:t>
      </w:r>
      <w:r w:rsidR="00000000" w:rsidRPr="00000000" w:rsidDel="00000000">
        <w:rPr>
          <w:rtl w:val="0"/>
        </w:rPr>
        <w:t xml:space="preserve"> atbalsta sniegšanai, kas līdz 4.3.3.1. pasākuma projekta iesnieguma iesniegšanai CFLA tiks papildināta atbilstoši 4.3.3.1. pasākuma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Demarkācija un papildināmība ar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NVA izstrādā mehānismu dubultā finansējuma novēršanai ar citiem finansēšanas avotiem, tai skaitā ar Programmu un citiem ārvalstu finanšu instrumentiem, tostarp ar zemāk aprakstītajiem pasākumiem un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4.3.3.1. pasākuma īstenošanu plānots uzsākt indikatīvi 2026. gada 1. ceturksnī. Mērķa grupas personu iesaiste plānota, noslēdzoties jaunu mērķa grupas personu iesaistei 3.1.2.5.i. investīcijas atbalstāmajās darbībās (mācību pasākumu veidiem ir dažāds īstenošanas laiks, līdz ar to mērķa grupu personu iesaiste garākajās izglītības programmās, kuras ilgst līdz sešiem mēnešiem, lai izslēgtu atbalsta pārrāvumu, kā norādīts iepriekš, ir jānodrošina paralēli 3.1.2.5.i investīcijas īstenošanai). Atbilstoši 2025. gada 26. augustā apstiprinātajam 3.1.2.5.i. investīcijas progresa pārskatam Nr. 6 dalību 3.1.2.5.i. investīcijas projektā līdz 2025. gada 30. jūnijam ir pabeigušas 21 736  unikālas mērķa grupas personas, t.i. ir izpildīts 130. mērķrādītājs: līdz 2026. gada 30. jūnijam  – 20 450 bezdarbnieki, darba meklētāji, bezdarba riskam pakļautie iedzīvotāji ar pilnveidotām prasmēm. Attiecīgi LM par to plāno ziņot EK reizē ar ceturto maksājuma pieprasījumu. Šāda pieeja nodrošinās iespēju uzsākt 4.3.3.1. pasākuma projekta īstenošanu no 2026. gada 1. janvāra. Savukārt atlikušo 3.1.2.5.i. investīcijas finansējumu plānots investēt 2026. gadā līdz tā pilnīgai izmantošanai, nodrošinot nepieciešamos pasākumus dubultfinansēšanas riska novēršanai. Demarkāciju starp īstenotajiem projektiem ir plānots īstenot NVA līmenī, mērķa grupas personas atbalstāmajās darbībās iesaistot atbilstoši MK noteikumu Nr. 75 nosacījumiem par personas atkārtotu dalību pasākumā, tādējādi novēršot arī dubultfinansēšanas risku attiecībā uz mērķa grupas iesaisti mācībās. Dubultfinansēšanas risks starp 4.3.3.1. pasākuma projektu un 3.1.2.5.i. investīcijas projektu tiks novērsts un informācijas caurspīdīgums nodrošināts līdzīgi kā to finansējuma saņēmējs (NVA) ir īstenojis un CFLA nodrošinājusi šī procesa uzraudzību, piemēram, noslēdzoties 7.1.1. projekta īstenošanai un uzsākoties 3.1.2.5.i. investīcijas projekta īstenošanai. Katram projektam ir/ būs sava ar CFLA noslēgta vienošanās par projekta īstenošanu, kurā atrunāti specifiski nosacījumi projektu īstenošanā, savs norēķinu konts, atsevišķa grāmatvedības uzskaite, nodrošināta atsevišķa mērķa grupas dalībnieku  un norēķinu ar pakalpojumu sniedzējiem (arī izglītības iestādēm) uzskaite BURVIS. BURVIS funkcionalitāte nodrošina datu uzkrāšanu par mērķa grupas personas dalību vēsturi NVA mācību pasākumos, sniedzot iespēju veikt personas atbilstības mērķa grupai un dalības nosacījumiem pasākumā pārbaudi. Arī projekta personāls pakāpeniski no 3.1.2.5.i. investīcijas projekta tiks pārvirzīts 4.3.3.1. pasākuma projektā, nodalot personāla pienākumus un izmaksas projektos. Personāla saglabāšana, ievērojot jau 3.1.2.5.i. investīcijas projektā uzkrāto kompetenci, ir būtisks priekšnosacījums sekmīgai 4.3.3.1. pasākuma projekta īstenošanai. Tostarp NVA ir izstrādāta projektu īstenošanas uzraudzības IKS (detalizētāku aprakstu skatīt augstāk), kā arī NVA tāpat kā līdz šim ievēros tiesību aktu prasības dokumentu sagatavošanā, izmaksu attiecināmības nodrošināšanā, grāmatvedības kārtošanā un nodokļu uzskaitē, tādējādi nodrošinot, ka 4.3.3.1. pasākuma projekta ietvaros izmaksas ir attiecināmas, ja tās atbilst TA projektā minētajām izmaksu pozīcijām, un ir radušās ne agrāk kā 2026. gada 1. janvārī. Tostarp jāņem vērā, ka nav attiecināmas izmaksas par jau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nodrošinot demarkāciju un papildināmību ar citiem finanšu instrumentiem, ir jāievēro arī TA projekta 25. punktā noteiktais, t.i., īstenojot praktiskās mācības un piešķirot darba devējiem TA projekta 18.3.6.4. apakšpunktā minētās izmaksas, jāievēro nosacījums, ka izmaksas piešķir darba devējam, kurš pēdējo piecu gadu laikā nav saņēmis dotāciju konkrētā bezdarbnieka ar invaliditāti darba vietas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19.5. apakšpunkts paredz arī, ka, sākot no 2026. gada, veidojas (pēc nepieciešamības) arī NVA pārziņā esošās BURVIS pielāgošanas izmaksas, t.sk., piemērojot mācību izmaksu metodikas izmaiņas un izmaiņas normatīvajos aktos par aktīvo nodarbinātības pasākumu un preventīvo bezdarba samazināšanas pasākumu organizēšanas un finansēšanas kārtību un pasākumu īstenotāju izvēles principiem (veicot jaunus BURVIS pielāgojumus), veidojot papildināmību ar Programmas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pasākumu "Nodarbinātības valsts aģentūras veiktspējas stiprināšana un pakalpojumu modernizēšana" (turpmāk – 4.3.3.6. pasākums). 4.3.3.6. pasākumā arī paredzētas izmaksas BURVIS pilnveidei, tāpēc NVA, lai novērstu dubultās finansēšanas risku, nodrošinās, ka izmaksas par vieniem un tiem pašiem BURVIS pilnveidojumiem netiek segtas no 4.3.3.1. pasākuma projekta un 4.3.3.6. pasākuma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novērstu dubultā finansējuma riskus starp EM, LM un IZM īstenotajām pieaugušo izglītības programmām (AF plāna 2. komponentes "Digitālā transformācija" 2.3. reformu un investīciju virziena "Digitālās prasmes": 2.3.1.2.i. investīcija "Uzņēmumu digitālo prasmju attīstība" (turpmāk – 2.3.1.2.i. investīcija), 2.3.1.3.i investīcija "Pašvadītas IKT speciālistu mācību pieejas attīstība" (turpmāk – 2.3.1.3.i. investīcija), 2.3.2.1.i. investīcija "Digitālās prasmes iedzīvotājiem t.sk. jauniešiem"  un Programmas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pasākums "Atbalsts nozaru vajadzībās balstītai pieaugušo izglītībai", 4.2.4.2 pasākums "Atbalsts pieaugušo individuālajās vajadzībās balstītai pieaugušo izglītībai"(turpmāk – 4.2.4.2. pasākums) un Taisnīgas pārkārtošanās fonda 6.1.1. specifiskā atbalsta mērķa "Pārejas uz klimatneitrālitāti radīto ekonomisko, sociālo un vides seku mazināšana visvairāk skartajos reģionos" 6.1.1.5. pasākums “Nodarbināto prasmju paaugstināšana un atbalsts kvalifikācijas iegūšanai, atbalsts darbaspēka mācībām saskaņā ar uzņēmumu pieprasījumu” (turpmāk – 6.1.1.5.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- 4.3.3.1. pasākuma ietvaros atbalsts profesionālās pilnveides un tālākizglītības programmu apguvei bezdarba riskam pakļautajām (nodarbinātām) personām nav plānots. Atbalsts profesionālās pilnveides un tālākizglītības programmu apguvei, kas dod iespēju apgūt darba tirgus prasībām atbilstošas sistematizētas profesionālās zināšanas un prasmes, nodarbinātiem – bezdarba riskam pakļautajiem, būs pieejams 4.2.4.2.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- 4.3.3.1. pasākuma TA projekta 16.2., 16.3. un 16.5.  apakšpunktā minētajās atbalstāmajās darbībās (mācību veids – digitālo prasmju apguve) iesaista mērķa grupas personas, kuras vienlaikus nav atbalsta saņēmēji 2.3.1.4.i. investīcijas un 4.2.4.2. pasākuma ietvaros. Jau 2025. gada 18. jūlijā NVA un Valsts izglītības attīstības aģentūra noslēdza starpresoru vienošanos sadarbībai datu apmaiņā par atbalsta saņēmējiem 3.1.2.5. i., 2.3.1.4.i. investīcijas un 4.2.4.2. pasākuma ietvaros, lai izslēgtu personu vienlaicīgu dalību un dubultfinansēšanas risku līdzvērtīgos atbalsta pasākumos (digitālo prasmju apguves programmas, kurās sakrīt programmas nosaukums, ilgums, mācību veids (profesionālās izglītības programma, modulis, neformālā izglītības programma) utml.). Vienošanās ir plānots veikt grozījumus, lai precīzāk atrunātu demarkācijas nosacījumus starp 4.3.3.1. pasākuma, 2.3.1.3.i. investīcijas (attiecināms uz visām 4.3.3.1. pasākuma mērķa grupas personām un TA projekta 16.3. apakšpunktā minētās atbalstāmās darbības mācību veidu – digitālo prasmju apguve)  un 6.1.1.5. pasākuma (attiecināms uz 4.3.3.1. pasākuma mērķa grupas personām  vecumā no 18 līdz 29 gadiem (ieskaitot), kuras nemācās un nav nodarbinātas un 16.2. apakšpunktā minēto atbalstāmo darbību)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 projekta 16.3., 16.5. un 16.6. apakšpunktā minētajās atbalstāmajās darbībās iesaista bezdarba riskam pakļautās personas, kuras vienlaikus nav iesaistītas 2.3.1.2.i. investīcijas ietvaros 2026. gadā īstenotajās digitālo prasmju apguves programmās. Tā nodrošināšanai NVA un EM jāvienojas par sniegtā atbalsta saskaņotību, lai novērstu dubultfinansēšanas risku 2026. gada 1. pusgadā, kad beidzas 2.3.1.2. i. investīcijas īstenošana un pakāpeniski sākas mērķa grupas iesaiste 4.3.3.1. pasākuma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22. punkts nosaka, ka 4.3.3.1. pasākuma atbalstāmās darbības un izmaksas plāno atbilstoši normatīvajiem aktiem par aktīvo nodarbinātības pasākumu un preventīvo bezdarba samazināšanas pasākumu organizēšanas un finansēšanas kārtību un pasākumu īstenotāju izvēles principiem, t.i. atbilstoši MK noteikumiem Nr. 75, ciktāl 4.3.3.1. pasākuma īstenošanas noteikumi nenosaka citādi. MK noteikumu Nr. 75 22. punktā ir noteikta APIKK loma, savukārt 25. punktā ir noteikts NVA pienākums organizēt mācības APIKK noteiktajās jomās, izglītības programmās, profesijās un APIKK noteikto sociālo un profesionālo pamatprasmju apguvei. Saskaņā ar cilvēkkapitāla attīstības pārvaldības modeli pieaugušo izglītībai, EM sadarbībā ar darba devējiem sagatavo darba tirgus vajadzības pieaugušo izglītībai, ko apstiprina Cilvēkkapitāla attīstības padome (turpmāk – CAP), savukārt APIKK apstiprina mācību piedāvājumu, balstoties uz darba tirgus vajadzībām, tādējādi mazinot mācību piedāvājuma sadrumstalotību un pārklāšanos LM, EM un IZM resoros. Plānots, ka attiecībā uz neformālās izglītības programmām, studiju kursiem un studiju moduļiem plānoto mācību vajadzību papildināmība un saskaņotība arī tiks nodrošināta caur APIKK.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CAP ietvaros noteiktajam resoru atbildības sadalījumam EM apkopos, izvērtēs un sagatavos darba tirgus prognozes un ikgadējo nozaru tautsaimniecības vajadzībās un nodarbinātības analīzē balstītu darbaspēka pieprasījumu – sadarbībā ar nozaru ekspertu padomēm nosakot darba tirgum nepieciešamās profesionālās kvalifikācijas un prasmes nozaru un profesiju griezumā, kā arī to nepieciešamo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APIKK nosaka pārkvalifikācijas un prasmju pilnveides programmas bezdarbniekiem, darba meklētājiem un bezdarba riskam pakļautajiem (4.3.3.1. pasākuma mērķa grupai) sasaistē ar citiem IZM un EM īstenotajiem pieaugušo izglītības projektiem Latvijā, veicinot gan saskaņota starpinstitucionāla mūžizglītības piedāvājuma noteikšanu gan tā ilgtermiņa stratēģisku attīstību, sekmējot kā pieprasījuma (izglītojamo), tā piedāvājuma (izglītības pakalpojumu sniedzēju) puses iesaisti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demarkācija tiek nodrošināta, APIKK pārskatot un apstiprinot projektu īstenoto izglītības programmu sarakstus, novēršot mācību satura pārklāšanos un līdzīgu programmu īstenošanu vairākos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iedzīvotāju ienākuma nodokli" noteiktajam, Valsts ieņēmumu dienests (turpmāk – VID) veic datu apmaiņu par fizisko personu, tai skaitā veiks arī par 4.3.3.1 pasākuma mērķa grupas personu izglītības un ārstniecisko pakalpojumu izdevumu kompensācijām. Papildus NVA, iesniedzot VID ikgadējo paziņojumu "Paziņojums par fiziskai personai izmaksātajām summām, sniedz VID" informāciju par visām fiziskām personām izmaksātajām stipendijām un atlīdzībām, tādējādi mazinot dubultfinansēšanas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arī NVA pienākumu nodrošināt ar projekta īstenošanu saistītā finansējuma, tai skaitā privātā līdzfinansējuma (izmaksas, kuras sedz darba devējs praktisko mācību īstenošanai: bezdarbnieku darba algas daļa un valsts sociālās apdrošināšanas obligātās iemaksas par pasākumā iesaistītajiem bezdarbniekiem) uzskaiti, pēc nepieciešamības nodrošinot šīs informācijas sniegšanu kontrolējošām iestādēm. Privātā līdzfinansējuma uzskaiti NVA jau šobrīd veic un 4.3.3.1. pasākuma ietvaros veiks informācijas sistēmās (piemēram, BURVIS) vai izmantojot alternatīvus datu uzkrāšanas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4.3.3.1. pasākumu, investīcijas, kas tiek ieguldītas valsts informācijas sistēmās, tajā skaitā pakalpojuma saturs, tiks nodots publiskās pārvaldes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ES fondu 2014.–2020. gada plānošanas periodā ESF, ERAF un KF,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periodā –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https://www.nva.gov.lv/lv/darba-tirgus-prognozes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https://www.lm.gov.lv/lv/latvijas-politikas-planosanas-dokumenti-2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[11]https://ec.europa.eu/info/strategy/priorities-2019-2024/economy-works-people/jobs-growth-and-investment/european-pillar-social-rights/european-pillar-social-rights-20-principles_lv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[12]https://likumi.lv/ta/id/324332-par-izglitibas-attistibas-pamatnostadnem-20212027-gadam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4.3.3.1. pasākums netiks īstenots, paredzams, ka nenotiks mērķa grupas personu prasmju pilnveide, kā rezultātā paaugstināsies bezdarba līmenis un bezdarbnieku skaits valstī. Bezdarbniekiem būs ierobežotas spējas atgriezties, kā arī konkurēt darba tirgū. Investīciju trūkums kopumā negatīvi ietekmēs ekonomisko situāciju valstī, jo uzņēmumi nevarēs piesaistīt kvalificētu darbaspēku un tādējādi palēnināsies uzņēmumu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"ES fondu ieguldījumu ilgtspējīgas un kvalitatīvas nodarbinātībā un darbaspēka mobilitātē 2014. – 2020. gada plānošanas periodā lietderības, efektivitātes un ietekmes 2022. gada izvērtējums" (FM2021/43 (TP IZV)) [13] tika vērtēta līdzīgo, Darbības programmas "Izaugsme un nodarbinātība" 7.1.1. specifiskā atbalsta mērķa "Paaugstināt bezdarbnieku kvalifikāciju un prasmes atbilstoši darba tirgus pieprasījumam" ietvaros īstenoto mācību pasākumu ieguldījumu lietderība un efektivitāte nodarbinātības veicināšanā. Izvērtējums kopumā parādīja, ka mācību pasākumiem ir labvēlīga un pozitīva ietekme uz dalībnieku spējām kļūt nodarbinātiem pēc noteikta laika perioda (dalībnieku nodarbinātības situācija tika salīdzināta ar kontroles grupu sešu, 12 un 18 mēnešu periodā). Skatoties detalizētāk uz mācību pasākumu veidiem, augsta efektivitāte ir gandrīz visām profesionālās izglītības programmām. 12 un 18 mēnešu posmā izmaksu kontekstā efektīvākās ir šādas profesionālās izglītības programmu tematiskās grupas: aprūpētājs, loģistikas darbinieks, noliktavas pārzinis, klientu apkalpošana, lietvedība, mazumtirdzniecības komercdarbinieks, viesmīlības speciālisti, frizieri un SPA speciālisti, apsardzes darbs, elektrokāra vadīšana un apkalpošana. Sešu mēnešu laika posmā augsta efektivitāte ir arī šādām profesionālo mācību tematiskajām grupām: grāmatvedība un nodokļi, projektu vadība un mārketings, un mazā biznesa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Neformālās izglītības programmu vidū visaugstākā efektivitāte ir datorprogrammu grāmatvedībā apguvei. Augsta efektivitāte īstermiņā bijusi visu valsts valodas izglītības programmām, taču ilgāk efektivitāte saglabājusies latviešu valodas augstākā līmeņa programmai. Arī angļu valodas izglītības programmu vidū augsta efektivitāte ir tieši angļu valodas ar priekšzināšanām </w:t>
      </w:r>
      <w:r w:rsidR="00000000" w:rsidRPr="00000000" w:rsidDel="00000000">
        <w:rPr>
          <w:i w:val="1"/>
          <w:rtl w:val="0"/>
        </w:rPr>
        <w:t xml:space="preserve">(Lower Intermediate &amp; Intermediate; Higher Intermediate, Advanced)</w:t>
      </w:r>
      <w:r w:rsidR="00000000" w:rsidRPr="00000000" w:rsidDel="00000000">
        <w:rPr>
          <w:rtl w:val="0"/>
        </w:rPr>
        <w:t xml:space="preserve">, tai skaitā biznesa angļu valodas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Paaugstinoties darbaspēka kvalifikācijai, uzņēmumiem tiks radīti labāki apstākļi izaugsmei, attīstībai un digitālo risinājumu ieviešanai. Paplašinot digitālo prasmju attīstības iespējas iedzīvotājiem, tiks veicināta ekonomikas transformācija un produktivitāte. Tā, piemēram, Ekonomiskās sadarbības un attīstības organizācijas (OECD) pētnieki pamato dažādu valstu ekonomikas sniegumu ar atšķirībām cilvēkkapitāla kvalitātē [14]. Savukārt Kolomba (Coulombe), Trembleja (Tremblay) un Maršanda (Marchand) pētījums rāda, ka vienlīdzīgs prasmju sadalījums starp visiem iedzīvotājiem pozitīvi ietekmē kopējos ekonomikas rādītājus [15]. Būsa un Brajena (Booth un Bryan, 2002) pētījumā ir konstatēts, ka viena nedēļa formālajā izglītībā nodrošina par apmēram vienu procentu lielāku algu turpmākajā darba dzīvē [16]. Hanušeka (Hanushek) un Vesmana (Woessmann) darbā [17] tiek aplūkotas cēloņsakarības starp valstu ekonomisko attīstību un kognitīvajām prasmēm, uzsverot, ka formālā izglītība nav vienīgais cilvēkkapitāla attīstības ceļš, un lielu ieguldījumu sniedz arī cita veida mācības. Papildu zināšanas un prasmes palielina indivīdu nodarbinātību un konkurētspēju darba tirgū, kā rezultātā palielinās indivīda ienākumu līmenis. Vienlaikus ienākumu līmeņa pieaugums un ieguldījumi izglītības procesa organizēšanā pozitīvi ietekmē nodokļu ieņēmumus [18].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4.3.3.1. pasākuma īstenošanas rezultātā tiks samazināts bezdarbnieku un darba meklētāju skaits (tai skaitā, sniedzot atbalstu bezdarba riskam pakļautajām personām, lai tās nenokļūtu bezdarba situācijā). Tādējādi mazināsies arī bezdarba līmenis, jo atbilstoši mācību pasākumu izvērtējumu rezultātiem, pirmo 12 mēnešu laikā vidēji 50 % dalībnieku atgriezīsies darba tirgū (dati no FM izvērtējuma par darbā iekārtošanās rezultātiem pēc dalības izglītības programmās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4.3.3.1. pasākums netiks īstenots, atbalsts bezdarbnieku un darba meklētāju mācībām būs jānodrošina no valsts budžeta līdzekļiem (būtiski pārplānojot bezdarbniekiem sniegto atbalsta pasākumu struktūru (valsts nodarbinātības speciālā budžeta apakšprogrammas Nr. 04.02.00 izdevumi 2024. gadā bija 7 513 165 </w:t>
      </w:r>
      <w:r w:rsidR="00000000" w:rsidRPr="00000000" w:rsidDel="00000000">
        <w:rPr>
          <w:i w:val="1"/>
          <w:rtl w:val="0"/>
        </w:rPr>
        <w:t xml:space="preserve">euro</w:t>
      </w:r>
      <w:r w:rsidR="00000000" w:rsidRPr="00000000" w:rsidDel="00000000">
        <w:rPr>
          <w:rtl w:val="0"/>
        </w:rPr>
        <w:t xml:space="preserve">)), kuri ir pieejami ierobežotā apjomā un veido vidēji 20% no kopējā ikgadējā budžeta aktīvās darba tirgus politikas pasākumu īstenošanai un tikai 57% no kopējā ikgadējā budžeta mācību pasākumu organizēšanai NVA mērķa grupām (LM aprēķini). Līdz ar to mācībās būs iespējams iesaistīt daudz mazāku dalībnieku skaitu, kā rezultātā pieaugs izdevumi sociālajam budžetam, jo prognozējams, ka šie cilvēki nevarēs atgriezties darba tirgū tik ātri kā tad, ja saņemtu atbalstu 4.3.3.1.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4.3.3.1. pasākuma īstenošanas rezultātā palielināsies pieaugušo personu dalība mūžizglītībā – 2024. gadā iedzīvotāju 25-64 gadu vecumā īpatsvars, kas piedalījušies pieaugušo izglītībā, veidoja 11 % jeb vidēji 93 500 personas [20]. 4.3.3.1. pasākuma ietvaros mācību pasākumos ir plānots iesaistīt 37 312 bezdarbniekus, darba meklētājus un bezdarba riskam pakļautās personas (indikatīvi 9 328 personas gadā). Līdz ar to iedzīvotāju, kas piedalās pieaugušo izglītībā īpatsvars 2030. gadā (pēc projekta noslēguma), salīdzinot pret 2024. gadu, varētu sasniegt 15,4%, kas veido vidēji 39,9 % jeb 4,4 pp palielinājumu un 130 812 personas ((93 500 + 37 312) x 11 % / 93 500). Tā ir 4.3.3.1. pasākuma tiešā ietekme, neņemot vērā, piemēram, iedzīvotāju uzvedību un lēmumu pieņemšanu piedalīties mācībās atkarībā no ekonomiskās situācijas valstī, citu līdzīgu projektu īstenošanu un to ietekmi uz rādītāju, ekonomisko ciklu iespējamu maiņu, ārējos makroekonomiskos faktorus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izvērtējuma datiem [19] darba tirgū pēc dalības mācību pasākumos līdz 2030. gadam (ieskaitot) varētu atgriezties vidēji 50% jeb 16 656 mācību pasākumu dalībnieki (tie, kas pabeigs dalību 2026. gadā, darba tirgū nonāks 2027. gadā un tā ik gadu līdz 2030. gadam) – bezdarbnieki (33 312 bezdarbnieki x 50 % jeb vidēji 4 164 personas gadā). Tas 2030. gadā varētu kāpināt 2024. gada nodarbinātības rādītāju 15-64 gadu vecuma grupai (71,2 %, 824 600 personas [21] līdz 72,6 % ( 841 256 (824 600 + 16 656) personām nodarbinātībā), kas veido 2 % jeb 1,4 pp palielinājumu (841 256 x 71,2 % / 824 600). Tā ir 4.3.3.1. pasākuma prognozējamā tiešā ietekme, neņemot vērā citus faktorus, piemēram, atdevi no citu projektu īstenošanas, ekonomiskās situācijas izmaiņas, ārējos makroekonomiskos faktorus un tml. Attiecīgi 2030. gadā varētu samazināties arī 2024. gada bezdarba līmenis 15-64 gadu vecuma grupai (7,3 %, 64 800 bezdarbnieki [21]) līdz 5,4 %, kas veido 26 % jeb 1,9 pp samazinājumu līdz 48 144 personām ((64 800 – 16 656) x 7,3 % / 64 800).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2030. gadā varētu samazināties izdevumi garantētā minimālā ienākuma nodrošināšanai (turpmāk – GMI), ja vismaz 16 656 personas atgriezīsies darba tirgū un tādējādi nekļūs par ilgstošajiem bezdarbniekiem, kuriem nepieciešams GMI atbalsts. Vidējais GMI atbalsts vienai personai 2025. gada aprīlī veidoja 103,23 euro (LM dati) un atbilstoši pašvaldību pārskatiem par sociālajiem pakalpojumiem un sociālo palīdzību, vidējais GMI izmaksu periods vienai personai veidoja vidēji sešus mēnešus. Līdz ar to kopējie izdevumi līdz 2030. gadam iedzīvotāju sociālajam nodrošinājumam 4.3.3.1. pasākuma īstenošanas ietekmē varētu samazināties par 3,4 milj. euro (5 529 personas (33 312 personas x 16,6% – personas, kas varētu nokļūt ilgstošā bezdarba situācijā bez pieejamā atbalsta) x 103,23 euro x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4.3.3.1. pasākuma īstenošanas rezultātā varētu pieaugt ieņēmumi no darba algas nodokļiem, jo 16 656 personas, kuras atgriezīsies darba tirgū līdz 2030. gadam (ieskaitot), veiks VSAOI un iedzīvotāju ienākuma nodokļa iemaksas no darba algas. Pieņemot, ka 16 656 personas saņems ienākumus no algotā darba vismaz minimālās mēneša darba algas apmērā – 740 </w:t>
      </w:r>
      <w:r w:rsidR="00000000" w:rsidRPr="00000000" w:rsidDel="00000000">
        <w:rPr>
          <w:i w:val="1"/>
          <w:rtl w:val="0"/>
        </w:rPr>
        <w:t xml:space="preserve">euro</w:t>
      </w:r>
      <w:r w:rsidR="00000000" w:rsidRPr="00000000" w:rsidDel="00000000">
        <w:rPr>
          <w:rtl w:val="0"/>
        </w:rPr>
        <w:t xml:space="preserve">, </w:t>
      </w:r>
      <w:r w:rsidR="00000000" w:rsidRPr="00000000" w:rsidDel="00000000">
        <w:rPr>
          <w:b w:val="1"/>
          <w:rtl w:val="0"/>
        </w:rPr>
        <w:t xml:space="preserve">pēc darba attiecību nodibināšanas</w:t>
      </w:r>
      <w:r w:rsidR="00000000" w:rsidRPr="00000000" w:rsidDel="00000000">
        <w:rPr>
          <w:rtl w:val="0"/>
        </w:rPr>
        <w:t xml:space="preserve"> līdz 2030. gadam (ieskaitot)</w:t>
      </w:r>
      <w:r w:rsidR="00000000" w:rsidRPr="00000000" w:rsidDel="00000000">
        <w:rPr>
          <w:b w:val="1"/>
          <w:rtl w:val="0"/>
        </w:rPr>
        <w:t xml:space="preserve"> valsts budžeta ieņēmumi varētu pieaugt par 58,2 milj. </w:t>
      </w:r>
      <w:r w:rsidR="00000000" w:rsidRPr="00000000" w:rsidDel="00000000">
        <w:rPr>
          <w:b w:val="1"/>
          <w:i w:val="1"/>
          <w:rtl w:val="0"/>
        </w:rPr>
        <w:t xml:space="preserve">euro</w:t>
      </w:r>
      <w:r w:rsidR="00000000" w:rsidRPr="00000000" w:rsidDel="00000000">
        <w:rPr>
          <w:rtl w:val="0"/>
        </w:rPr>
        <w:t xml:space="preserve"> (16 656 personas x (291,11 euro [22] (252,27 </w:t>
      </w:r>
      <w:r w:rsidR="00000000" w:rsidRPr="00000000" w:rsidDel="00000000">
        <w:rPr>
          <w:i w:val="1"/>
          <w:rtl w:val="0"/>
        </w:rPr>
        <w:t xml:space="preserve">euro</w:t>
      </w:r>
      <w:r w:rsidR="00000000" w:rsidRPr="00000000" w:rsidDel="00000000">
        <w:rPr>
          <w:rtl w:val="0"/>
        </w:rPr>
        <w:t xml:space="preserve"> VSAOI + 38,84 </w:t>
      </w:r>
      <w:r w:rsidR="00000000" w:rsidRPr="00000000" w:rsidDel="00000000">
        <w:rPr>
          <w:i w:val="1"/>
          <w:rtl w:val="0"/>
        </w:rPr>
        <w:t xml:space="preserve">euro</w:t>
      </w:r>
      <w:r w:rsidR="00000000" w:rsidRPr="00000000" w:rsidDel="00000000">
        <w:rPr>
          <w:rtl w:val="0"/>
        </w:rPr>
        <w:t xml:space="preserve"> (iedzīvotāju ienākuma nodoklis)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prognozējams, ka ieguvumi no 4.3.3.1. pasākuma īstenošanas (61,6 milj. euro (3,4 milj. </w:t>
      </w:r>
      <w:r w:rsidR="00000000" w:rsidRPr="00000000" w:rsidDel="00000000">
        <w:rPr>
          <w:i w:val="1"/>
          <w:rtl w:val="0"/>
        </w:rPr>
        <w:t xml:space="preserve">euro</w:t>
      </w:r>
      <w:r w:rsidR="00000000" w:rsidRPr="00000000" w:rsidDel="00000000">
        <w:rPr>
          <w:rtl w:val="0"/>
        </w:rPr>
        <w:t xml:space="preserve"> GMI atbalsts + 58,2 milj. </w:t>
      </w:r>
      <w:r w:rsidR="00000000" w:rsidRPr="00000000" w:rsidDel="00000000">
        <w:rPr>
          <w:i w:val="1"/>
          <w:rtl w:val="0"/>
        </w:rPr>
        <w:t xml:space="preserve">euro</w:t>
      </w:r>
      <w:r w:rsidR="00000000" w:rsidRPr="00000000" w:rsidDel="00000000">
        <w:rPr>
          <w:rtl w:val="0"/>
        </w:rPr>
        <w:t xml:space="preserve"> darba nodokļu iemaksas) par 29% pārsniedz plānotos ieguldījumus (47,9 milj. </w:t>
      </w:r>
      <w:r w:rsidR="00000000" w:rsidRPr="00000000" w:rsidDel="00000000">
        <w:rPr>
          <w:i w:val="1"/>
          <w:rtl w:val="0"/>
        </w:rPr>
        <w:t xml:space="preserve">euro</w:t>
      </w:r>
      <w:r w:rsidR="00000000" w:rsidRPr="00000000" w:rsidDel="00000000">
        <w:rPr>
          <w:rtl w:val="0"/>
        </w:rPr>
        <w:t xml:space="preserve">) un attiecīgi ir uzskatāms, ka pasākumam ir pozitīva ietekme uz valsts budžeta ieņēmumiem (13,7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https://www.esfondi.lv/assets/izv%C4%93rt%C4%93jumi/2014_2020/2022/biss_gala-zinojums_20.09.2022.pdf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Bassanini A., Scarpetta S. Does Human Capital Matter for Growth in OECD Countries?: Evidence from pooled mean-group estimates. 2001. OECD, Paris. Pieejams: http://datubazes.lanet.lv:2302/docserver/download/424300244276.pdf?expires=1518957677&amp;id=id&amp;accname=guest&amp;checksum=6837664A707260A63AB3770014FA528B)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Coulombe, S., Tremblay J.F., Marchand S. Literacy, Human Capital, and Growth. Department of Economics, University of Ottawa, Canada, 2004. p. 38. Pieejams: https://scispace.com/pdf/literacy-human-capital-and-growth-2fsgohakid.pdf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Booth A.L., Bryan M.L. Who Pays for General Training? New Evidence for British Men and Women. IZA Discussion Paper, No. 486, April. Pieejams: http://ftp.iza.org/dp486.pdf (skatīts: 03.03.2018.)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Hanushek E.A., Woessmann L. The Role of Cognitive Skills in Economic Development. Journal of Economic Literature, 2008, pp. 607–668. Pieejams: http:www.aeaweb.org/articles.php?doi=10.1257/jel.46.3.607 (skatīts: 15.02.2018.)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Gattiker U.S. Taxpayer Returns from Training of Semiskilled Employees. The Academy of Management Journal, Vol. 38, No. 4 (Aug., 1995), pp. 1152-1173 (1155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https://www.esfondi.lv/upload/Zinojumi/biss_gala-zinojums_20.09.2022.pdf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Centrālās statistikas pārvaldes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https://data.stat.gov.lv/pxweb/lv/OSP_PUB/START__IZG__IZ__IZI/IZI070/; https://data.stat.gov.lv/pxweb/lv/OSP_PUB/START__IZG__IZ__IZI/IZI050/table/tableViewLayout1/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[21]Centrālās statistikas pārvaldes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https://data.stat.gov.lv/pxweb/lv/OSP_PUB/START__EMP__NB__NBLB/NBA031/; https://data.stat.gov.lv/pxweb/lv/OSP_PUB/START__EMP__NBBA__NBB1/NBB020/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https://blog.swedbank.lv/riki-kalkulatori/darba-algas-kalkulators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aprakstu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aprakstu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4.3.3.1. pasākumam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- 134. intervences kods "Pasākumi nodarbinātības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- 136. intervences kods "Īpašs atbalsts jaunatnes nodarbinātībai un jauniešu sociāli ekonomiskai integrācijai".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4.3.3.1. pasākuma īstenošanas laikā veiks izvērtējumu, vai informācija par 4.3.3.1. pasākuma īstenotāju, atbalstāmajām darbībām un finansējumu ir publicējama arī atvērto datu veidā Latvijas Atvērto datu portālā data.gov.lv.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Bezdarba riskam pakļautās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nonākot bezdarba situācijā (bezdarbnieks vai darba meklētājs), tiks piedāvāta iespēja iesaistīties NVA īstenotajos pasākumos, pilnveidot iegūtās prasmes un iegūt jaunas zināšanas un prasmes. Rezultātā paredzams, ka palielināsies personas konkurētspēja darba tirgū un iespējas atgriezties darba tirgū. Bezdarba riskam pakļautajām personām tiks piedāvāta iespēja uzlabot prasmes, vairot darba produktivitāti un paaugstināt konkurētspēju esošajā darba vietā vai plānojot darba 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netieši var ietekmēt jebkuru juridisku personu, kura nākotnē varētu izmantot NVA piedāvātās sadarbības iespējas darbaspēka atlasē, mērķa grupas mācību un praktisko mācību pie darba devēja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izvērtējuma datiem [19] darba tirgū pēc dalības mācību pasākumos līdz 2030. gadam (ieskaitot) varētu atgriezties vidēji 50% jeb 16 656 mācību pasākumu dalībnieki – bezdarbnieki (33 312 bezdarbnieki x 50 % jeb vidēji 4 164 personas gadā). Tas 2030. gadā varētu kāpināt 2024. gada nodarbinātības rādītāju 15-64 gadu vecuma grupai (71,2 %, 824 600 personas [21] līdz 72,6 % (841 256 (824 600 + 16 656) personām nodarbinātībā), kas veido 2 % jeb 1,4 pp palielinājumu (841 256 x 71,2 % / 824 600). Tā ir 4.3.3.1. pasākuma prognozējamā tiešā ietekme, neņemot vērā citus faktorus, piemēram, atdevi no citu projektu īstenošanas, ekonomiskās situācijas izmaiņas, ārējos makroekonomiskos faktorus un tml. Attiecīgi 2030. gadā varētu samazināties arī 2024. gada bezdarba līmenis 15-64 gadu vecuma grupai (7,3 %, 64 800 bezdarbnieki [21]) līdz 5,4 %, kas veido 26 % jeb 1,9 pp samazinājumu līdz 48 144 personām ((64 800 – 16 656) x 7,3 % / 64 800).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tiek organizētas, balstoties uz darba tirgus prognozēšanas rezultātiem un darba devēju aptaujām. Darbaspēka rezerves tiek sagatavotas tajās nozarēs, jomās un profesijās, kurās ir vērojams darba vietu pieaugums un ekonomiskā attīstība. Tiek veikti ieguldījumi mērķa grupas digitālo prasmju attīstībā, kas var palīdzēt ekonomikas transformācijai un produktivitātes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tiks veicināta darbaspēka kvalifikācijas paaugstināšanās, līdz ar to uzņēmumiem tiks radīti labāki apstākļi izaugsmei, attīstībai un digitālo risinājumu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tiks veicināta darbaspēka kvalifikācijas paaugstināšanās, līdz ar to uzņēmumiem tiks radīti labāki apstākļi izaugsmei, attīstībai un digitālo risinājumu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4.3.3.1. pasākumu, plānots, ka tiks samazināts bezdarbnieku un darba meklētāju skaits (tai skaitā, sniedzot atbalstu bezdarba riskam pakļautajām personām, lai tās nenokļūtu bezdarba situācijā) un tādējādi arī pazemināsies bezdarba līmenis, jo atbilstoši mācību pasākumu izvērtējumu rezultātiem, pirmo sešu mēnešu laikā vidēji 50 % dalībnieku atgriežas darba tirgū (NVA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8 588 862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13 502 619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11 642 029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8 588 862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13 502 619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11 642 029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10 104 543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15 885 434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13 696 505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10 104 543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15 885 434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13 696 505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-1 515 681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-2 382 815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-2 054 476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-1 515 681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-2 382 815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-2 054 476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-1 515 681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-2 382 815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-2 054 476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-1 515 681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-2 382 815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-2 054 476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4.3.3.1. pasākuma ietvaros  kopējais attiecināmais finansējums ir </w:t>
            </w:r>
            <w:r w:rsidR="00000000" w:rsidRPr="00000000" w:rsidDel="00000000">
              <w:rPr>
                <w:sz w:val="24"/>
                <w:b w:val="1"/>
                <w:rtl w:val="0"/>
              </w:rPr>
              <w:t xml:space="preserve">47 850 000 </w:t>
            </w:r>
            <w:r w:rsidR="00000000" w:rsidRPr="00000000" w:rsidDel="00000000">
              <w:rPr>
                <w:sz w:val="24"/>
                <w:b w:val="1"/>
                <w:i w:val="1"/>
                <w:rtl w:val="0"/>
              </w:rPr>
              <w:t xml:space="preserve">euro</w:t>
            </w:r>
            <w:r w:rsidR="00000000" w:rsidRPr="00000000" w:rsidDel="00000000">
              <w:rPr>
                <w:sz w:val="24"/>
                <w:rtl w:val="0"/>
              </w:rPr>
              <w:t xml:space="preserve">, tai skaitā ESF Plus finansējums – 40 672 500</w:t>
            </w:r>
            <w:r w:rsidR="00000000" w:rsidRPr="00000000" w:rsidDel="00000000">
              <w:rPr>
                <w:sz w:val="24"/>
                <w:i w:val="1"/>
                <w:rtl w:val="0"/>
              </w:rPr>
              <w:t xml:space="preserve"> euro </w:t>
            </w:r>
            <w:r w:rsidR="00000000" w:rsidRPr="00000000" w:rsidDel="00000000">
              <w:rPr>
                <w:sz w:val="24"/>
                <w:rtl w:val="0"/>
              </w:rPr>
              <w:t xml:space="preserve">un valsts budžeta līdzfinansējums – 7 177 500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nepārsniedz 85 procentus no 4.3.3.1 pasākuma attiecināmām izmaksām. Budžeta izdevumi ir kopējie 4.3.3.1. pasākuma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4.3.3.1. pasākuma projektu </w:t>
            </w:r>
            <w:r w:rsidR="00000000" w:rsidRPr="00000000" w:rsidDel="00000000">
              <w:rPr>
                <w:sz w:val="24"/>
                <w:b w:val="1"/>
                <w:rtl w:val="0"/>
              </w:rPr>
              <w:t xml:space="preserve">plānots ieviest no 2026. gada  1. janvāra līdz 2029. gada 31. decembrim, paredzot 4.3.3.1.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finansējumu  indikatīvi 10 104 543 </w:t>
            </w:r>
            <w:r w:rsidR="00000000" w:rsidRPr="00000000" w:rsidDel="00000000">
              <w:rPr>
                <w:sz w:val="24"/>
                <w:i w:val="1"/>
                <w:rtl w:val="0"/>
              </w:rPr>
              <w:t xml:space="preserve">euro</w:t>
            </w:r>
            <w:r w:rsidR="00000000" w:rsidRPr="00000000" w:rsidDel="00000000">
              <w:rPr>
                <w:sz w:val="24"/>
                <w:rtl w:val="0"/>
              </w:rPr>
              <w:t xml:space="preserve">, t.sk. ESF Plus finansējums 8 588 862 </w:t>
            </w:r>
            <w:r w:rsidR="00000000" w:rsidRPr="00000000" w:rsidDel="00000000">
              <w:rPr>
                <w:sz w:val="24"/>
                <w:i w:val="1"/>
                <w:rtl w:val="0"/>
              </w:rPr>
              <w:t xml:space="preserve">euro</w:t>
            </w:r>
            <w:r w:rsidR="00000000" w:rsidRPr="00000000" w:rsidDel="00000000">
              <w:rPr>
                <w:sz w:val="24"/>
                <w:rtl w:val="0"/>
              </w:rPr>
              <w:t xml:space="preserve"> un VB finansējums 1 515 681</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finansējumu indikatīvi 15 885 434</w:t>
            </w:r>
            <w:r w:rsidR="00000000" w:rsidRPr="00000000" w:rsidDel="00000000">
              <w:rPr>
                <w:sz w:val="24"/>
                <w:i w:val="1"/>
                <w:rtl w:val="0"/>
              </w:rPr>
              <w:t xml:space="preserve"> euro</w:t>
            </w:r>
            <w:r w:rsidR="00000000" w:rsidRPr="00000000" w:rsidDel="00000000">
              <w:rPr>
                <w:sz w:val="24"/>
                <w:rtl w:val="0"/>
              </w:rPr>
              <w:t xml:space="preserve">, t.sk. ESF Plus  finansējums 13 502 619</w:t>
            </w:r>
            <w:r w:rsidR="00000000" w:rsidRPr="00000000" w:rsidDel="00000000">
              <w:rPr>
                <w:sz w:val="24"/>
                <w:i w:val="1"/>
                <w:rtl w:val="0"/>
              </w:rPr>
              <w:t xml:space="preserve"> euro</w:t>
            </w:r>
            <w:r w:rsidR="00000000" w:rsidRPr="00000000" w:rsidDel="00000000">
              <w:rPr>
                <w:sz w:val="24"/>
                <w:rtl w:val="0"/>
              </w:rPr>
              <w:t xml:space="preserve"> un VB finansējums 2 382 815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finansējumu indikatīvi 13 696 505</w:t>
            </w:r>
            <w:r w:rsidR="00000000" w:rsidRPr="00000000" w:rsidDel="00000000">
              <w:rPr>
                <w:sz w:val="24"/>
                <w:i w:val="1"/>
                <w:rtl w:val="0"/>
              </w:rPr>
              <w:t xml:space="preserve"> euro</w:t>
            </w:r>
            <w:r w:rsidR="00000000" w:rsidRPr="00000000" w:rsidDel="00000000">
              <w:rPr>
                <w:sz w:val="24"/>
                <w:rtl w:val="0"/>
              </w:rPr>
              <w:t xml:space="preserve">, t.sk. ESF Plus finansējums 11 642 029 e</w:t>
            </w:r>
            <w:r w:rsidR="00000000" w:rsidRPr="00000000" w:rsidDel="00000000">
              <w:rPr>
                <w:sz w:val="24"/>
                <w:i w:val="1"/>
                <w:rtl w:val="0"/>
              </w:rPr>
              <w:t xml:space="preserve">uro</w:t>
            </w:r>
            <w:r w:rsidR="00000000" w:rsidRPr="00000000" w:rsidDel="00000000">
              <w:rPr>
                <w:sz w:val="24"/>
                <w:i w:val="1"/>
                <w:rtl w:val="0"/>
              </w:rPr>
              <w:t xml:space="preserve"> </w:t>
            </w:r>
            <w:r w:rsidR="00000000" w:rsidRPr="00000000" w:rsidDel="00000000">
              <w:rPr>
                <w:sz w:val="24"/>
                <w:rtl w:val="0"/>
              </w:rPr>
              <w:t xml:space="preserve">un VB finansējums 2 054 476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finansējumu indikatīvi 8 163 518 </w:t>
            </w:r>
            <w:r w:rsidR="00000000" w:rsidRPr="00000000" w:rsidDel="00000000">
              <w:rPr>
                <w:sz w:val="24"/>
                <w:i w:val="1"/>
                <w:rtl w:val="0"/>
              </w:rPr>
              <w:t xml:space="preserve">euro</w:t>
            </w:r>
            <w:r w:rsidR="00000000" w:rsidRPr="00000000" w:rsidDel="00000000">
              <w:rPr>
                <w:sz w:val="24"/>
                <w:rtl w:val="0"/>
              </w:rPr>
              <w:t xml:space="preserve">, t.sk. ESF Plus  finansējums 6 938 990 </w:t>
            </w:r>
            <w:r w:rsidR="00000000" w:rsidRPr="00000000" w:rsidDel="00000000">
              <w:rPr>
                <w:sz w:val="24"/>
                <w:i w:val="1"/>
                <w:rtl w:val="0"/>
              </w:rPr>
              <w:t xml:space="preserve">euro</w:t>
            </w:r>
            <w:r w:rsidR="00000000" w:rsidRPr="00000000" w:rsidDel="00000000">
              <w:rPr>
                <w:sz w:val="24"/>
                <w:rtl w:val="0"/>
              </w:rPr>
              <w:t xml:space="preserve"> un VB finansējums 1 224 528</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sagatavos un iesniegs Finanšu ministrijai finanšu līdzekļu pieprasījumu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2026. gadam ne vairāk kā 10 104 543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iesniegs priekšlikumu par TA projektā paredzēto atbalstāmo darbību īstenošanai papildu nepieciešamo finansējumu 2027. 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tiks plānots LM valsts pamatbudžeta apakšprogrammā 63.08.00 “Eiropas Sociālā fonda Plus (ESF+) projektu un pasākumu īstenošana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ir norādīts indikatīvi un var tikt precizēts, iesniedzot projekta iesniegumu CFLA, kā arī projekta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4.3.3.1. pasākuma projekta īstenošanas laiku. Precīzus personāla amatus, saimes, kā arī nepieciešamo skaitu noteiks finansējuma saņēmējs, iesniedzot 4.3.3.1. pasākuma projekta iesniegumu CFLA. Indikatīvs projekta personāla plānojums ietverts anotācijas sadaļā "Risinājuma apraksts".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4.3.3.1. pasākuma projekta īstenošanas BURVIS pilnveidojumu ilgtspēja tiks nodrošināta NVA pamatdarbības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(ES Oficiālais Vēstnesis, 2021. gada 30. jūnijs, Nr. L 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Euratom)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30. septembra Regula (ES, Euratom) 2024/2509 par finanšu noteikumiem, ko piemēro Savienības vispārējam budžetam (ES Oficiālais Vēstnesis, 2024. gada 26. septembris, Nr. L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2021/1057, ar ko izveido Eiropas Sociālo fondu Plus (ESF+) un atceļ Regulu (ES) Nr. 1296/2013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Regulu (ES) 2023/2831 par Līguma par ES darbību 107. un 108. panta piemērošanu de minimis atbalstam (ES Oficiālais Vēstnesis, 2023. gada 15. decembris, Nr. L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717/2014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Regulu (EK) Nr. 717/2014 par Līguma par ES darbību 107. un 108. panta piemērošanu de minimis atbalstam zvejniecības un akvakultūras nozarē (ES Oficiālais Vēstnesis, 2014. gada 28. jūnijs, Nr. L 190)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1408/2013 par Līguma par Eiropas Savienības darbību 107. un 108. panta piemērošanu de minimis atbalstam lauksaimniecības nozarē (ES Oficiālais Vēstnesis, 2013. gada 24. decembris, Nr. L 352)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(ES Oficiālais Vēstnesis, 2021. gada 30. jūnijs, Nr. L 231)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30. septembra Regula (ES, Euratom) 2024/2509 par finanšu noteikumiem, ko piemēro Savienības vispārējam budžetam (ES Oficiālais Vēstnesis, 2024. gada 26. septembris, Nr. L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13.2.1. un 27.3.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2021/1057, ar ko izveido Eiropas Sociālo fondu Plus (ESF+) un atceļ Regulu (ES) Nr. 1296/2013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Regulu (ES) 2023/2831 par Līguma par ES darbību 107. un 108. panta piemērošanu de minimis atbalstam (ES Oficiālais Vēstnesis, 2023. gada 15. decembris, Nr. L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punkts, 33.2.1. apakšpunkts,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 1. panta 1. punkta "a", "b", "c" vai "d" apakšpunkts un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 un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Regulu (EK) Nr. 717/2014 par Līguma par ES darbību 107. un 108. panta piemērošanu de minimis atbalstam zvejniecības un akvakultūras nozarē (ES Oficiālais Vēstnesis, 2014. gada 28. jūnijs, Nr. L 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punkts, 33.2.2. apakšpunkts un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33.1.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un 3. punkts,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1408/2013 par Līguma par Eiropas Savienības darbību 107. un 108. panta piemērošanu de minimis atbalstam lauksaimniecības nozarē (ES Oficiālais Vēstnesis, 2013. gada 24. decembris, Nr. L 352)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33.2.1. un 33.2.2.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pasākumu piedāvājums bezdarbniekiem, darba meklētājiem un bezdarba riskam pakļautām personām tiek apstiprināts un regulāri pārskatīts EM APIKK, kurā piedalās arī nevalstisko organizāciju pārstāvji, piemēram, Latvijas Tirdzniecības un rūpniecības kamera, Latvijas Pašvaldību savienība, Latvijas Darba devēju konfederācija un Latvijas Pašvaldību savienība.
Papildus 2025. gada pirmajā pusgadā LM rīkoja tikšanās ar nevalstiskajām organizācijām "Vidusdaugavas NVO centrs", "Latvijas senioru kopienu apvienība", "Kuldīgas Senioru skola", "Ikšķiles senioru skola" un "Baltā māja", lai diskutētu par trešās paaudzes universitāšu tīkla izveides iespējām Latvijā (atbalsts mācībām gados vecākām personām, tai skaitā senioriem), prezentējot arī informāciju 4.3.3.1. pasākuma plānotajām atbalstāmajām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https://tapportals.mk.gov.lv/public_participation/f752d475-0f65-4e00-9d2e-f2c7e8f8e22f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periodā no 2024. gada 6. decembra līdz 2024. gada 20. decembrim priekšlikumi/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neparedz izmaiņas institucionālajā struktūrā, kā arī neietekmē pieejamos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īstenošanas rezultātā tiks veicināta 4.3.3.1. pasākuma mērķa grupas – bezdarbnieku, darba meklētāju un bezdarba riskam pakļauto personu vispārējā konkurētspēja darba tirgū, kā arī darbā iekārtošanās iespējas un iekļaušanās pastāvīgā nodarbinātībā, tādējādi sekmējot personu sociālo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ietvaros paredzētās atbalstāmās darbības atstāj labvēlīgu ietekmi ne tikai uz mērķa grupas ekonomisko aktivitāti un konkurētspēju darba tirgū, bet arī nodrošina ienākumus bezdarba periodā (stipendijas un atlīdzības), kas tiek izmantoti patēriņam un pamatvajadzību nodrošināšanai, kas savukārt uzlabo personu sociālo situāciju, mazinot sociālās atstumtības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sniegts 4.3.3.1. pasākumā plānotais atbalsts, pastāv varbūtība, ka mērķa grupas personas nevarētu pilnvērtīgi atgriezties darba tirgū un turpinātu saņemt bezdarbnieka un sociālās palīdzības pabalstus, vienlaikus pieaugot ilgstošā bezdarba riskam, kā rezultātā var pasliktināties arī personas sociālā situācija un iespējas atgriezties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paredzēts īstenot darbības, kas veicina personu virs 50 gadiem un etnisko minoritāšu pārstāvju ekonomisko aktivitāti un konkurētspēju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Specifiskās horizontālā principa “Vienlīdzība, iekļaušana, nediskriminācija un pamattiesību ievērošana” (turpmāk –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nodrošināta personu vecumā virs 50 gadiem iesaiste projekta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nodrošināta etnisko minoritāšu pārstāvju iesaiste projekta darbībās.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ietvaros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nodrošināts, ka informācija projekta vai finansējuma saņēmēja tīmekļa vietnē ir piekļūstama cilvēkiem ar funkcionēšanas ierobežojumiem, izmantojot vairākus sensoros (redze, dzirde, tauste) kanālus (skat. vadlīnijas šeit: </w:t>
      </w:r>
      <w:r w:rsidR="00000000" w:rsidRPr="00000000" w:rsidDel="00000000">
        <w:rPr>
          <w:i w:val="1"/>
          <w:rtl w:val="0"/>
        </w:rPr>
        <w:t xml:space="preserve"> https://www.varam.gov.lv/lv/timeklvietnu-pieklustamibas-vadlinijas)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Specifiskās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nodrošināta pasākuma satura piekļūstamība personām ar funkcionēšanas ierobežojumiem, izmantojot tulkošanu zīmju valodā, informāciju vieglajā valodā, subtitrēšanu, Braila druku, reāllaika transkripciju, raidījumu un pasākumu ierakstīšanu;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nodrošināta klātienes  pasākuma vai pakalpojuma norises vietas vides un informācijas piekļūstamība cilvēkiem ar funkcionēšanas ierobežojumiem, nepieciešamības gadījumā nodrošinot tehnisko risinājumu nomu (piemēram, pārvietojamais panduss, pacēlājs, norādes, indukcijas cilpu noma u.c.) un par to tiks informēti pasākuma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īstenoti specifiski atbalsta pasākumi personām ar funkcionēšanas ierobežojumiem, piemēram,  asistenta, zīmju valodas tulka, mentora, atbalsta personas pakalpojums, specializētais transports, darba vai mācību vietas pielāgošana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Vispārīgās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vadībā un īstenošanā tiks virzīti pasākumi, kas sekmē darba un ģimenes dzīves līdzsvaru, paredzot elastīga un nepilna laika darba iespēju nodrošināšanu vecākiem ar bērniem un personām, kuras aprūpē tuviniekus;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sievietēm un vīriešiem tiks nodrošināta vienlīdzīga darba samaksa un vienlīdzīgas karjeras izaugsmes iespējas, tostarp nodrošinot dalību 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r w:rsidR="00000000" w:rsidRPr="00000000" w:rsidDel="00000000">
        <w:rPr>
          <w:i w:val="1"/>
          <w:rtl w:val="0"/>
        </w:rPr>
        <w:t xml:space="preserve">https://www.lm.gov.lv/lv/media/18838/download</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Specifiskās HP VINPI darbības, piemēram, </w:t>
      </w:r>
      <w:r w:rsidR="00000000" w:rsidRPr="00000000" w:rsidDel="00000000">
        <w:rPr>
          <w:rtl w:val="0"/>
        </w:rPr>
        <w:t xml:space="preserve">tiks nodrošināta mērķa grupas sieviešu iesaiste projekta darbībās.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ir netieša ietekme uz cilvēktiesībām, demokrātiskās vērtībām un pilsoniskās sabiedrības attīstību. Institūcijas, kas ir iesaistītas ES fondu vadībā un projektu īstenošanā, īstenos vispārīgas darbības un ievēros nosacījumus, kas netieši ietekmē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ietvaros ir paredzēts veikt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piešķirtās rīcības brīvības joma un tās īstenošanas veids. Turklāt šīs iestādes tiesības ir jādefinē pietiekami precīzi, lai ne tikai iestādei būtu saprotamas tiesību īstenošanas robežas, bet arī indivīdam, lai vajadzības gadījumā ar atbilstošu padomu varētu regulēt un pielāgot savu rīcību [23]. Tādējādi, nosakot NVA, sadarbības partnerim un pakalpojuma sniedzējiem tiesības projekta īstenošanas laikā veikt datu subjektu personas datu apstrādi atbalsta sniegšanai 4.3.3.1. pasākuma mērķa grupas personām (norādītas TA projekta 3. punktā), TA projektā noteiktas veicamās personas datu apstrādes darbības minētā nolūka sasniegšanai [24]. Savukārt NVA kā finansējuma saņēmēja pienākums sagatavot maksājuma pieprasījumus noteikts MK 2023. gada 21. marta noteikumos Nr. 135 “Eiropas Savienības fondu projektu pārbaužu veikšanas kārtība 2021.–2027. gada plānošanas periodā” (turpmāk – MK noteikumi Nr. 135). Maksājuma pieprasījumos ietverto izdevumu attiecināmības pamatošanas nolūkā finansējuma saņēmējam atbilstoši TA projektā noteiktajam ir pienākums veikt projektā iesaistāmās mērķa grupas pārbaudi, identificēšanu un uzskaiti saskaņā ar BDMAL, MK noteikumiem Nr. 75 un MK 2017. gada 28. marta noteikumiem Nr. 172 “Bezdarbnieku uzskaites un reģistrēto vakanču informācijas sistēmas noteikumi” (turpmāk – MK noteikumiem Nr. 172). MK noteikumu Nr. 135 46. punkts paredz, ka finansējuma saņēmējs pārbauda, vai sadarbības partnera un gala saņēmēja sniegtā informācija maksājuma pieprasījumam par veiktiem projekta izdevumiem un iepirkumiem (ja attiecināms) vadības informācijas sistēmā ir korekta. Proti, TA projektā noteikts, ka finansējuma saņēmējs, pirms maksājuma pieprasījuma iesniegšanas, veic pēcpārbaudi sadarbības partnera un pakalpojuma sniedzēju veiktajai noteikumu projekta 3. apakšpunktā minētās mērķa grupas atbilstības pārbaudei dalībai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pieprasījumos noteiktās informācijas ievadi vadības informācijas sistēmā nosaka noteikumi Nr. 135, savukārt MK 2022. gada 13. decembra noteikumos Nr. 770 "Kārtība, kādā Eiropas Savienības fondu 2021.–2027. gada plānošanas periodā nodrošina ieguldījumu uzraudzību un izvērtēšanu, kā arī izstrādā un uztur Kohēzijas politikas fondu vadības informācijas sistēmu" (turpmāk – MK noteikumi Nr. 770) [25] norādīts, ka vadības informācijas sistēma nodrošina ES fondu īstenošanai un vadībai nepieciešamo datu uzkrāšanu un pieejamību, kā arī informācijas apmaiņu. Tādējādi attiecībā uz finansējuma saņēmēju (NVA), veicot personas datu apstrādes darbības, TA projektā un anotācijā netiek dublēti ar personas datu apstrādi saistītie jautājumi, pamatojoties uz MK 2009. gada 3. februāra noteikumu Nr. 108 "Normatīvo aktu projektu sagatavošanas noteikumi" [26] 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NVA, sadarbības partneris vai pakalpojumu sniedzēji (tostarp izglītības iestādes) TA projekta 16. punktā minēto pasākumu īstenošanas un maksājuma pieprasījumu sagatavošanas nolūkā veic pārbaudi attiecībā uz TA projekta 3. punktā minētās mērķa grupas atbilstību iesaistei TA projekta 16. punktā minētajās atbalstāmajās darbībās, kā arī veic minēto personu identificēšanu un uzskaiti, norādot vārdu, uzvārdu, personas kodu, e-pasta adresi (saziņai) un citu personas datus nesaturošu informāciju, kas nepieciešama maksājuma pieprasījuma sagatavošanai, un iesniedz finansējuma saņēmējam (ja to veic sadarbības partneris, piesaistīts pakalpojumu sniedzējs). Dalībnieku uzskaite ir nepieciešama, lai NVA, sadarbības partneris un pakalpojuma sniedzējs, ja tāds ticis piesaistīts, pierādītu, ka attiecīgais pasākums faktiski ir noticis un tajā ir piedalījušās atbilstošās mērķa grupas personas, un NVA kā finansējuma saņēmējs spētu nodrošināt maksājuma pieprasījumā iekļaujamās informācijas pamatotību. TA projekta 3. punktā minētās mērķa grupas identificēšanai apstrādājams vārds, uzvārds, personas kods, lai varētu identificēt konkrētu personu un tās atbilstību dalībai TA projekt 16. punktā norādītajās atbalstāmajās darbībās. Personas kods atbilstoši Fizisko personu reģistra likuma 6. panta pirmajai un otrajai daļai ir atzīstams par unikālu identifikatoru, kas ļauj nepārprotami identificēt konkrētu tiesību subjektu.  Savukārt e-pasts izmantojams saziņas nolūkā ar datu subjektu. Tādējādi atzīstams, ka apstrādājamais personas datu apjoms ir uzskatāms par minimāli nepieciešamo iepriekš minētā personas datu apstrādes nolūka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sadarbības partneris vai pakalpojumu sniedzēji iepriekš minēto datu subjektu personas datu apstrādi veiks uz Eiropas Parlamenta un Padomes 2016. gada 27. aprīļa regulas (ES) Nr. 2016/679 par fizisku personu aizsardzību attiecībā uz personas datu apstrādi un šādu datu brīvu apriti un ar ko atceļ Direktīvu 95/46/EK (Vispārīgā datu aizsardzības regula) (turpmāk – Regula Nr. 2016/679) 6. panta 1. punkta e) apakšpunkta un TA projekta 26. punkta pamata. NVA uzkrāj un uzskaita informāciju par atbalstu saņēmušām TA projekta 3. punktā minētajām mērķa grupas personām un iesniedz sadarbības iestādē apkopotus datus par kopējiem tūlītējiem rādītājiem atbilstoši regulas 2021/1057 1. pielikumam un MK noteikumu Nr. 135 1. pielikumam. NVA informācijas apmaiņas kārtību nosaka jau iepriekš minētie MK noteikumi Nr. 172. Proti, MK noteikumu Nr. 172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mērķa grupas dalību 4.3.3.1. pasākuma atbalstāmajās darbībās tiks uzglabāti BURVIS atbilstoši kārtībai un nosacījumiem, kas ir atrunāti MK noteikumos Nr. 172. Mērķa grupas personas, kuras ir NVA klienti, dalībai TA projektā paredzētajās atbalstāmajās darbībās NVA piesaistīs, izmantojot BURVIS datus. Datu apstrāde tiks veikta saskaņā ar MK noteikumiem Nr. 172.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uzskaite ir nepieciešama, lai pierādītu, ka attiecīgais pasākums faktiski ir noticis un tajā ir piedalījušās atbilstošās mērķa grupas personas. NVA BURVIS glabājas dati, kas saistīti ar pamatdarbību –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TA projekts paredz arī, ka publisko iepirkumu rezultātā piesaistīts pakalpojumu sniedzējs veiks NVA BURVIS pilnveidi. Personas datu apstrāde BURVIS pilnveides ietvaros netiks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arī, ka finansējuma saņēmējs un sadarbības partneris projekta īstenošanas ietvaros var veikt iepirkumus, veicot arī personas datu apstrādi iepirkumu organizēšanas un iepirkumu līgumu noslēgšanas nolūkā. Minētā personas datu apstrāde tiks veikta atbilstoši Regulas Nr. 2016/679 6. panta 1. punkta b) un e) apakšpunktam un PIL 9. panta ceturtajai daļai, 44., 45. un 46. pantam. Iepirkumu procesa organizēšanas un administrēšanas nolūkā tiks apstrādāti datu subjektu identitātes dati (vārds, uzvārds), adrese, e-pasts, telefona numurs, informācija par pretendentu personāla vai pieaicināto speciālistu tehniskām un profesionālām spējām (pieredze, izglītība, zināšanas, kvalifikācija, amats) un to apliecinoši dokumenti, datu subjektu cita sniegtā informācija, izpildot iepirkuma nolikumā noteiktās prasības. PIL nosaka noteiktu personas datu apjomu, kuru finansējuma saņēmējam kā pasūtītājam ir tiesības apstrādāt, savukārt iepirkuma dalībniekiem pienākums sniegt. Personas datu nesniegšanas vai sniegšanas nepilnā apjomā gadījumā tiks liegta iespēja piedalīties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28.3. apakšpunktā paredzēts, ka NVA uzkrāj datus par HP VINPI rādītāju, kas neparedz datu subjektu personas datu apstrādi Regulas Nr. 2016/679 4. panta 2. punkta izpratnē, jo dati tiks uzkrāti statistikas veidā bez datu subjektu identificējošās informācijas. Dati tiks uzkrāti, lai nodrošinātu HP VINPI darbību īstenošanu praksē un to izpildes uzraudzību, kas ļauj novērtēt katra īstenotā projekta ietekmi HP VINPI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26. punkts, 28.7. un 28.8 apakšpunkts paredz, ka NVA veic mērķa grupas personas datu apstrādi, lai izvērtētu personu atbilstību mērķa grupas kritērijiem. Minētā personas datu apstrāde ir obligāti nepieciešama, jo projekts ir paredzēts tieši mērķa grupas personām, tādējādi ir nepieciešams pārbaudīt, vai persona atbilst izvirzītajiem kritērijiem, kuriem iestājoties, persona var saņemt TA projekta paredzēto atbalstu. Neveicot personas datu apstrādi, NVA nespēs izvērtēt personas atbilstību izvirzītajiem mērķa grupas kritērijiem, bet persona saņemt TA projektā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attaisnojuma dokumentu glabāšanas minimāliem termiņiem. Grāmatvedības likuma 28. panta 5. punkts nosaka, ka attaisnojuma dokumenti glabājami līdz dienai, kad tie nepieciešami, lai izpildītu likuma 6. panta otrās daļas prasības par saimnieciskā darījuma norises izsekojamību, bet ne īsāku laiku par pieciem gadiem. PIL 40. panta piektā daļa noteic, ka iepirkumu pieteikumu un piedāvājumu oriģinālus glabā 10 gadus pēc iepirkuma līguma noslēgšanas. Tādējādi, ņemot vērā normatīvajos aktos noteiktos termiņus, 4.3.3.1. pasākuma mērķa grupas personas datu glabāšanas termiņš nosakāms atbilstoši regulas 2021/1060 82. punkta prasībām, t.i., dokumentus par ES fondu atbalstītajiem izdevumiem glabā līdz 2035. gada 31. decembrim, lai pierādītu maksājumu veikšanas un finanšu izlietojuma pamatotību. Savukārt KPVIS personas dati atbilstoši MK noteikumu Nr. 770 27. punktam glabājami līdz 2039.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Eiropas Cilvēktiesību tiesas 2008. gada 4. decembra spriedums lietā S. un Marper pret Apvienoto Karalisti [Lielā Palāta], Nr. 30562/04 un Nr. 30566/04, 95. – 96.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Eiropas Cilvēktiesību tiesas 2012. gada 13. novembra spriedums lietā M. M. pret Apvienoto Karalisti, pieteikuma Nr. 24029/07; Eiropas Cilvēktiesību tiesas 1984. gada 2. augusta spriedums lietā Malone pret Apvienoto Karalisti, 68.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Pieejams: https://likumi.lv/ta/id/338014-kartiba-kada-eiropas-savienibas-fondu-2021-2027-gada-planosanas-perioda-nodrosina-ieguldijumu-uzraudzibu-un-izvertesanu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Pieejams: https://likumi.lv/ta/id/187822-normativo-aktu-projektu-sagatavosanas-noteikumi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pasākumam ir netieša pozitīva ietekme uz HP VINPI.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projekta ietvaros tiks īstenotas darbības, kas veicina vienlīdzību, iekļaušanu, nediskrimināciju un pamattiesību ievērošanu, kā arī tā vadībā un īstenošanā tiks īstenoti vispārīgas un specifiskas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pasākums tiks īstenots ierobežotas projektu iesniegumu atlases veidā, tā projekta iesnieguma vērtēšanā ir noteikts HP VINPI specifiskais atbilstības kritērijs (precizējamais kritērijs, 2025. gada 12. februārī apstiprināts Uzraudzības komitejā)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(NVA) nodrošinās, ka publiskie iepirkumi tiek veikti saskaņā ar normatīvajiem aktiem publisko iepirkumu jomā, īstenojot konkurenci nodrošinošu, pārredzamu, atklātu, nediskriminējošu konkursa procedūru un, kur tas ir attiecināms, var īstenot sociāli atbildīgus un inovatīvus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4.3.3.1. pasākuma ietekmes uz HP VINPI īstenošanu novērtēšanai TA projektā ir noteikts HP VINPI rādītājs.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24-TA-2738</w:t>
    </w:r>
    <w:r>
      <w:br/>
    </w:r>
    <w:r w:rsidR="00000000" w:rsidRPr="00000000" w:rsidDel="00000000">
      <w:rPr>
        <w:rtl w:val="0"/>
      </w:rPr>
      <w:t xml:space="preserve">Izdrukāts 29.07.2026. 22.56 - 6.0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24-TA-2738</w:t>
    </w:r>
    <w:r>
      <w:br/>
    </w:r>
    <w:r w:rsidR="00000000" w:rsidRPr="00000000" w:rsidDel="00000000">
      <w:rPr>
        <w:rtl w:val="0"/>
      </w:rPr>
      <w:t xml:space="preserve">Izdrukāts 29.07.2026. 22.56 - 6.0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anotācija_(ex_ante)_24-TA-2738.docx</dc:title>
</cp:coreProperties>
</file>

<file path=docProps/custom.xml><?xml version="1.0" encoding="utf-8"?>
<Properties xmlns="http://schemas.openxmlformats.org/officeDocument/2006/custom-properties" xmlns:vt="http://schemas.openxmlformats.org/officeDocument/2006/docPropsVTypes"/>
</file>