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(turpmāk – noteikumu projekts) ir Labklājības ministrijas (turpmāk – ministrija) iniciatīva un izstrādāts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par budžetu un finanšu vadību https://likumi.lv/ta/id/58057-likums-par-budzetu-un-finansu-vadibu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mērķis ir precizēt 3.1.2.1.i. investīcijas "Cilvēkiem ar funkcionāliem traucējumiem" (turpmāk – 3.1.2.1.i. investīcija) otrajai kārtai "Atbalsta pasākumi cilvēkiem ar invaliditāti mājokļu vides pieejamības nodrošināšanai" īstenošanas noteikumi" (turpmāk – otrā kārta) pieejamo Atveseļošanas fonda (turpmāk – AF) finansējuma apmēru, kā arī precizēt projektu personāla izmaksu attiecināšanas un mērķa grupas atlases kritēriju piemērošanas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otrās kārtas īstenošanu reglamentē Ministru kabineta 2023. gada 5. septembra noteikumi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(turpmāk – MK noteikumi Nr. 512). Saskaņā ar MK noteikumu Nr. 512: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 punktu 3.1.2.1.i. investīcijas otrajai kārtai pieejamais AF finansējums ir 4 777 821 </w:t>
      </w:r>
      <w:r w:rsidR="00000000" w:rsidRPr="00000000" w:rsidDel="00000000">
        <w:rPr>
          <w:i w:val="1"/>
          <w:rtl w:val="0"/>
        </w:rPr>
        <w:t xml:space="preserve">euro</w:t>
      </w:r>
      <w:r w:rsidR="00000000" w:rsidRPr="00000000" w:rsidDel="00000000">
        <w:rPr>
          <w:rtl w:val="0"/>
        </w:rPr>
        <w:t xml:space="preserve">. Papildu finansējumu veido valsts budžeta finansējums pievienotās vērtības nodokļa segšanai indikatīvi 947 770 </w:t>
      </w:r>
      <w:r w:rsidR="00000000" w:rsidRPr="00000000" w:rsidDel="00000000">
        <w:rPr>
          <w:i w:val="1"/>
          <w:rtl w:val="0"/>
        </w:rPr>
        <w:t xml:space="preserve">euro</w:t>
      </w:r>
      <w:r w:rsidR="00000000" w:rsidRPr="00000000" w:rsidDel="00000000">
        <w:rPr>
          <w:rtl w:val="0"/>
        </w:rPr>
        <w:t xml:space="preserve"> (attiecināms uz mērķa grupas personu mājokļu vides pielāgojumu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16.2. apakšpunktu pašvaldības sociālais dienests organizē mērķa grupas personu atlasi dalībai pasākumā, ņemot vērā MK noteikumu Nr. 512 3. pielikumā noteiktos skaidrojumus kā vadlīnijas kritēriju piemērošanai mērķa grupas personu un tās mājokļu atbilstības noteikšanai. Minētās vadlīnijas ir ieteikumu kopums, kas paskaidro mērķa grupas personu un mājokļa atbilstības izvērtēšanas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22. punktu finansējuma saņēmējs izmaksas projekta vadībai un īstenošanai plāno kā vienu izmaksu pozīciju 15 procentu apmērā no AF finansējuma, kas neietver projekta vadības un īstenošanas personāla atlīdzības izmaksas. Kā norādīts MK noteikumu Nr. 512 sākotnējā anotācijā, attiecībā uz projekta vadības un īstenošanas personāla atlīdzības izmaksām, 3.1.2.1.i. investīcijas otrās kārtas īstenošanā piemērojama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55. panta 1. punktā noteiktā vienotā likme 15 procentu apmērā no attiecināmajām izmaksām, kas nav atbalstāmo darbību personāla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2026. gada 20. janvāra Ministru kabineta (turpmāk – MK) sēdē tika apstiprināti MK noteikumu Nr. 512 grozījumi, kuros 20.7. apakšpunktā tika noteikta jauna papildu atbalstāmā darbība vides pieejamības nodrošināšana ēkās, kurās sniedz publiskos pakalpojumus, lai mērķtiecīgi labklājības nozarē izmantotu 3.1.2.1.i. investīcijas pirmās kārtas “Valsts un pašvaldību ēku vides pieejamības nodrošināšanas pasākums” un otrās kārtas “Atbalsta pasākumi cilvēkiem ar invaliditāti mājokļu vides pieejamības nodrošināšanai” projektos izveidojušos finansējuma, kā arī citu ministrijas atbildībā esošo investīciju atlikumus. 2026. gada 21. janvārī ministrija sagatavoja un nosūtīja vēstuli visām 39 pašvaldībām (finansējuma saņēmējiem) ar aicinājumu izvērtēt iespēju papildus mājokļu vides pieejamības atbalstam īstenot jaunu atbalstāmo darbību – ēku, kurās sniedz pašvaldību publiskos pakalpojumus, vides pieejamības nodrošināšanu. Ar publiskiem pakalpojumiem 3.1.2.1.i. investīcijā saprotami pakalpojumi, kas ir paredzēti iedzīvotājiem, uzņēmējiem un to grupām vai sabiedrībai kopumā visplašākajā nozīmē, tai skaitā tie, kas paredzēti gan bez maksas, gan par maksu. Pašvaldības pieprasījumus pēc papildu AF atbalsta ēku vides pieejamības nodrošināšanai ministrijā iesniedza līdz 2026. gada 20. februārim – kopumā šādus pieprasījumus iesniedza 29 finansējuma saņēmēji par kopējo summu 1 484 846 </w:t>
      </w:r>
      <w:r w:rsidR="00000000" w:rsidRPr="00000000" w:rsidDel="00000000">
        <w:rPr>
          <w:i w:val="1"/>
          <w:rtl w:val="0"/>
        </w:rPr>
        <w:t xml:space="preserve">euro</w:t>
      </w:r>
      <w:r w:rsidR="00000000" w:rsidRPr="00000000" w:rsidDel="00000000">
        <w:rPr>
          <w:rtl w:val="0"/>
        </w:rPr>
        <w:t xml:space="preserve">. Ievērojot minēto, MK noteikumos Nr. 512 ir nostiprināms viss šobrīd identificētais nozarei pieejamais AF finansējuma atlikums.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ierosinājusi grozījumus MK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(TA Nr. 26-TA-324), ar kuriem 3.1.2.2.i. investīcijai “Prognozēšanas rīka izstrāde sociālās apdrošināšanas sistēmas ilgtermiņa prognozēm, sistēmas ilgtermiņa stabilitātes izvērtēšanai un nodrošināšanai” (turpmāk – 3.1.2.2.i. investīcija) tiek samazināts kopējais pieejamais finansējums 150 000 </w:t>
      </w:r>
      <w:r w:rsidR="00000000" w:rsidRPr="00000000" w:rsidDel="00000000">
        <w:rPr>
          <w:i w:val="1"/>
          <w:rtl w:val="0"/>
        </w:rPr>
        <w:t xml:space="preserve">euro</w:t>
      </w:r>
      <w:r w:rsidR="00000000" w:rsidRPr="00000000" w:rsidDel="00000000">
        <w:rPr>
          <w:rtl w:val="0"/>
        </w:rPr>
        <w:t xml:space="preserve"> apmērā, ko veido Atveseļošanas fonda (turpmāk – AF) finansējums 123 967 </w:t>
      </w:r>
      <w:r w:rsidR="00000000" w:rsidRPr="00000000" w:rsidDel="00000000">
        <w:rPr>
          <w:i w:val="1"/>
          <w:rtl w:val="0"/>
        </w:rPr>
        <w:t xml:space="preserve">euro</w:t>
      </w:r>
      <w:r w:rsidR="00000000" w:rsidRPr="00000000" w:rsidDel="00000000">
        <w:rPr>
          <w:rtl w:val="0"/>
        </w:rPr>
        <w:t xml:space="preserve"> un valsts budžeta finansējums (pievienotās vērtības nodokļa (turpmāk – PVN) izmaksu segšanai) 26 033 </w:t>
      </w:r>
      <w:r w:rsidR="00000000" w:rsidRPr="00000000" w:rsidDel="00000000">
        <w:rPr>
          <w:i w:val="1"/>
          <w:rtl w:val="0"/>
        </w:rPr>
        <w:t xml:space="preserve">euro</w:t>
      </w:r>
      <w:r w:rsidR="00000000" w:rsidRPr="00000000" w:rsidDel="00000000">
        <w:rPr>
          <w:rtl w:val="0"/>
        </w:rPr>
        <w:t xml:space="preserve"> apmērā. Finansējuma atlikums ir izveidojies pamatā tāpēc, ka 3.1.2.2.i. investīcijas ietvaros paredzētā prognozēšanas rīka izstrādei būs nepieciešams mazāks finansējums kā sākotnēji plānots, kā arī ņemot vērā 2026. gada atlīdzības ierobežojumus, kas noteikti 2025. gada 4. decembrī Saeimas pieņemtajā likumprojektā  "Par valsts budžetu 2026. gadam un budžeta ietvaru 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Kohēzijas politikas fondu vadības informācijas sistēmas datiem 3.1.2.1.i. investīcijas pirmās kārtas “Valsts un pašvaldību ēku vides pieejamības nodrošināšanas pasākums” ietvaros šobrīd izveidojies AF finansējuma atlikums 332 724 </w:t>
      </w:r>
      <w:r w:rsidR="00000000" w:rsidRPr="00000000" w:rsidDel="00000000">
        <w:rPr>
          <w:i w:val="1"/>
          <w:rtl w:val="0"/>
        </w:rPr>
        <w:t xml:space="preserve">euro</w:t>
      </w:r>
      <w:r w:rsidR="00000000" w:rsidRPr="00000000" w:rsidDel="00000000">
        <w:rPr>
          <w:rtl w:val="0"/>
        </w:rPr>
        <w:t xml:space="preserve"> apmērā, noslēdzoties Tukuma novada pašvaldības (AF finansējuma atlikums 19 919.30 </w:t>
      </w:r>
      <w:r w:rsidR="00000000" w:rsidRPr="00000000" w:rsidDel="00000000">
        <w:rPr>
          <w:i w:val="1"/>
          <w:rtl w:val="0"/>
        </w:rPr>
        <w:t xml:space="preserve">euro</w:t>
      </w:r>
      <w:r w:rsidR="00000000" w:rsidRPr="00000000" w:rsidDel="00000000">
        <w:rPr>
          <w:rtl w:val="0"/>
        </w:rPr>
        <w:t xml:space="preserve">), Krāslavas novada pašvaldības (AF finansējuma atlikums 34 778.99 </w:t>
      </w:r>
      <w:r w:rsidR="00000000" w:rsidRPr="00000000" w:rsidDel="00000000">
        <w:rPr>
          <w:i w:val="1"/>
          <w:rtl w:val="0"/>
        </w:rPr>
        <w:t xml:space="preserve">euro</w:t>
      </w:r>
      <w:r w:rsidR="00000000" w:rsidRPr="00000000" w:rsidDel="00000000">
        <w:rPr>
          <w:rtl w:val="0"/>
        </w:rPr>
        <w:t xml:space="preserve">), sabiedrības ar ierobežotu atbildību "Šampētera nams" (AF finansējuma atlikums 219 718 </w:t>
      </w:r>
      <w:r w:rsidR="00000000" w:rsidRPr="00000000" w:rsidDel="00000000">
        <w:rPr>
          <w:i w:val="1"/>
          <w:rtl w:val="0"/>
        </w:rPr>
        <w:t xml:space="preserve">euro</w:t>
      </w:r>
      <w:r w:rsidR="00000000" w:rsidRPr="00000000" w:rsidDel="00000000">
        <w:rPr>
          <w:rtl w:val="0"/>
        </w:rPr>
        <w:t xml:space="preserve">) un Salaspils novada pašvaldības (AF finansējuma atlikums 58 308 </w:t>
      </w:r>
      <w:r w:rsidR="00000000" w:rsidRPr="00000000" w:rsidDel="00000000">
        <w:rPr>
          <w:i w:val="1"/>
          <w:rtl w:val="0"/>
        </w:rPr>
        <w:t xml:space="preserve">euro</w:t>
      </w:r>
      <w:r w:rsidR="00000000" w:rsidRPr="00000000" w:rsidDel="00000000">
        <w:rPr>
          <w:rtl w:val="0"/>
        </w:rPr>
        <w:t xml:space="preserve">) projektu īstenošanai. Lai arī CFLA vēl nav apstiprinājusi noslēgumu pārskatus sabiedrības ar ierobežotu atbildību "Šampētera nams" un Salaspils novada pašvaldības projektiem, risks, ka šis AF finansējums būs nepieciešams šiem abiem projektiem, ir minimāls, jo par indikatīvo atlikumu finansējuma saņēmēji ir informējuši CFLA Kohēzijas politikas fondu vadības informācijas sistēmā. Ja šis risks tomēr iestāsies, tad finansējums šiem diviem projektiem tiks pārdalīts no citiem 3.1.2.1.i. investīcijas pirmās kārtas projektu finansējuma atlikumiem, kas, kā liecina līdzšinējā pieredze, veidojas projektu beigu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Revīzijas iestādes veiktā audita par 115. atskaites punkta sasniegšanu ziņojuma (saņemts 2025. gada 23. decembrī) informācija liecina, ka pašvaldības, pārbaudot mērķa grupas personu un mājokļu atbilstību, ir balstījušās ne tikai uz MK 512 3. pielikumā noteiktajās vadlīnijās noteikto, bet arī citu informāciju, kas arī apliecina mērķa grupas vai mājokļa atbilstību noteiktajam kritērijam. Piemēram, kritērijā par mērķa grupas personas mājokļa komunālo maksājumu parādu, kas nepārsniedz 2 000 </w:t>
      </w:r>
      <w:r w:rsidR="00000000" w:rsidRPr="00000000" w:rsidDel="00000000">
        <w:rPr>
          <w:i w:val="1"/>
          <w:rtl w:val="0"/>
        </w:rPr>
        <w:t xml:space="preserve">euro</w:t>
      </w:r>
      <w:r w:rsidR="00000000" w:rsidRPr="00000000" w:rsidDel="00000000">
        <w:rPr>
          <w:rtl w:val="0"/>
        </w:rPr>
        <w:t xml:space="preserve">, informāciju ir iespējams iegūt ne tikai no komunālo pakalpojumu kvītīm, bet arī no apsaimniekotāja, ja objektīvu iemeslu dēļ pēdējo mājokļa komunālo maksājumu kvīts nav pieejama, kas ir minēta vadlīnijās kā mehānisms parādu pārbaudei. Tāpat Centrālā finanšu un līgumu aģentūra (turpmāk – CFLA), veicot iekšējās kontroles sistēmas pārbaudes finansējuma saņēmēju projektos, ir konstatējusi, ka pašvaldībās dažādi tiek interpretēts komunālo pakalpojumu jēdziens daudzīvokļu namu dzīvokļu un privātmāju kontekstā, vienlaikus norādot, ka pašvaldību īpašumā esošo dzīvokļu gadījumā nevar iestāties komunālo parādu vai dzīvokļa atsavināšanas risks. Ņemot vērā pārbaudēs konstatēto un pašvaldību dažādo pieeju mērķa grupas personas atbilstības pārbaudei, nepieciešams veikt redakcionālus precizējumus, lai vadlīnijās ietvertie ieteikumi būtu viennozīmīgāk interpretējami, elastīgāk un dažādām specifiskām situācijām atbilstoši piemērojami un vienlaikus nodrošinātu profesionālas izvērtēšanas brīvību atbilstoši konkrētās situācijas apstākļiem un sniegtu iespēju kritēriju atbilstību pārbaudīt pēc pašvaldības rīcībā esošiem dokumentiem un datu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3.1.2.1.i. investīcijas otrās kārtas projektu īstenošanas uzraudzības procesa ietvaros ir konstatējams, ka ne visi finansējuma saņēmēji ir plānojuši un faktiski veic no projekta budžeta izmaksas projekta vadībai un īstenošanai. Tāpat atsevišķi finansējuma saņēmēji izvēlējušies no projekta finansēt tikai atsevišķus speciālistus kā faktiskās izmaksas, tādējādi lielāku finansējuma daļu novirzot mājokļu pielāgošanai. Iepriekš minētās pieejas, lai arī loģiskas no finanšu resursu izmantošanas viedokļa, nav paredzētas MK noteikumos Nr. 512. Balstoties uz Kohēzijas politikas fondu vadības informācijas sistēmā esošo 3.1.2.1.i. investīcijas otrās kārtas projektu informāciju, ko apkopoja CFLA, redzams, ka tikai četros projektos finansējuma saņēmēji projekta vadībai un īstenošanai ir ieplānojuši izmaksas 15 procentu apmērā kā vienu izmaksu pozīciju (likmi). 22 projektos personāla izmaksas ir plānotas kā faktiskās izmaksas. Tāpat secināms, ka četros projektos vienlaicīgi ir ieplānota gan 15 procentu likme, gan papildus paredzētas īstenošanas personāla izmaksas arī kā faktiskās izmaksas (piemēram, MK noteikumu Nr. 512 20.6. apakšpunktā minētās atbalstāmās darbības īstenošanai – vides pieejamības konsultācijas, ietvaros). Šāda pieeja gan nav atbalstāma, ņemot vērā ES fondu projektu īstenošanas praksi un nosacījumus, personāla izmaksām ir jābūt paredzētām atbilstoši vienai metodei – vai nu visām izmaksām jābūt iekļautām likmē (neatkarīgi no veida, kādā personālu iesaista) vai arī jāparedz kā faktiskās izmaksas. Papildus minams, ka finansējuma saņēmēji var izvēlēties pieeju un projekta budžeta izmaksas projekta vadībai un īstenošanai izmaksas vispār neplānot.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nepieciešami šādi grozījumi MK noteikumos Nr. 512: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palielināms 10. punktā noteiktais pieejamais AF finansējums par 456 691 </w:t>
      </w:r>
      <w:r w:rsidR="00000000" w:rsidRPr="00000000" w:rsidDel="00000000">
        <w:rPr>
          <w:i w:val="1"/>
          <w:rtl w:val="0"/>
        </w:rPr>
        <w:t xml:space="preserve">euro</w:t>
      </w:r>
      <w:r w:rsidR="00000000" w:rsidRPr="00000000" w:rsidDel="00000000">
        <w:rPr>
          <w:rtl w:val="0"/>
        </w:rPr>
        <w:t xml:space="preserve"> un nosakāms 5 234 512 </w:t>
      </w:r>
      <w:r w:rsidR="00000000" w:rsidRPr="00000000" w:rsidDel="00000000">
        <w:rPr>
          <w:i w:val="1"/>
          <w:rtl w:val="0"/>
        </w:rPr>
        <w:t xml:space="preserve">euro</w:t>
      </w:r>
      <w:r w:rsidR="00000000" w:rsidRPr="00000000" w:rsidDel="00000000">
        <w:rPr>
          <w:rtl w:val="0"/>
        </w:rPr>
        <w:t xml:space="preserve"> apmērā. Risinājums ir atbilstošs Eiropas Savienības fondu tematiskās komitejas 2025. gada 28. augusta sēdē pieņemtajam lēmumam 1) atļaut ministrijām identificētos atlikumus izmantot savas nozares AF projektu īstenošanai; 2) noteikt, ka par AF atlikumu, kas radušies AF investīcijas ietvaros un sasniedz vismaz 1 milj. euro, izmantošanu turpmāk lemt ES fondu tematiskajā ministru 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redakcionāli precizējams 3. pielikums “Kritēriju piemērošanas vadlīnijas mērķa grupas personas un tās mājokļa atbilstības noteikšanai”, to izsakot jaunā redakcijā. Vienlaikus minētie grozījumi attiecināmi arī uz tām personām un viņu mājokļiem, kas jau ir izvērtēti un iekļauti 3.1.2.1.i. investīcijas otrās kārtas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precizējama 22. punkta projekta vadības un īstenošanas personāla izmaksu nosacījumu redakcija, paredzot šo izmaksu plānošanu kā iespēju, nevis kā obligātu nosacījumu, kā arī paredzot alternatīvu projekta vadības un īstenošanas personāla izmaksu uzskaitei – kā faktiskās izmaksas. Ņemot vērā, ka CFLA, noslēdzot vienošanās ar finansējuma saņēmējiem par 3.1.2.1.i. investīcijas otrās kārtas projektu īstenošanu, ir akceptējusi dažādas pieejas projekta vadības un īstenošanas personāla izmaksu plānošanai, šīs izmaiņas ir attiecināmas no vienošanās par projekta īstenošanu noslēgšanas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finansējuma saņēmējiem un MK noteikumu Nr. 512 7.1. apakšpunktā noteiktā atskaites punkta un 7.2. apakšpunktā noteiktā mērķrādītāja sasniegšanu, jo paredz precizēt un noteikt elastīgākus mērķa grupas atbilstības vērtēšanas nosacījumus. Savukārt attiecībā uz personāla izmaksām projekta grozījumi nebūs nepieciešami, izņemot tos projektus, kur šīs izmaksas ieplānotas gan atbilstoši vienotai likmei, gan faktiskajām izmaksām. Pēc noteikumu projekta spēkā stāšanās CFLA kā līgumslēdzējs informēs finansējuma saņēmējus par MK noteikumu Nr. 512 grozījumiem, vienlaikus lūdzot pārskatīt projektos paredzēto un nepieciešamības gadījumā ierosinot attiecīgus grozījumus. Ministrijas ieskatā projektu grozījumi, ja tādi būs nepieciešami, nebūs būtiski, jo tie nemainīs projekta mērķi un sasniedzamo atskaites punktu un mērķrādītāju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papildu finansējuma novirzīšana 3.1.2.1.i. investīcijas otrajai kārtai ļaus sniegt plašāku atbalstu MK noteikumu Nr. 512 20.7. apakšpunktā minētās atbalstāmās darbības īstenošanai, kas, ņemot vērā pašvaldību lielo interesi un iesniegto pieprasījumu skaitu, ir uzskatāma par ļoti aktuālu un nepieciešamu investīciju vides pieejamības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otrās kārtas mērķa grupas personu dalības pārtraukšanas gadījumā pašvaldības parasti meklē citas personas, ko iekļaut projektā tās personas vietā, kas dažādu iemeslu dēļ pārtrauc dalību projektā. Ja kāda pašvaldība pieteiks ministrijā interesi projektā iekļaut papildu personas, kā tai šobrīd piešķirtā kvota, ministrija piešķirs papildu kvotu (-as) un, ja nepieciešams, finansējumu papildu personu atbalstam. Tādējādi tiks veidots “drošības spilvens” MK noteikumu Nr. 7.2. apakšpunktā noteiktā mērķrādītāja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ir konstatētas atkāpes vai trūkumi, tai skaitā saistībā ar mērķa grupas personas un viņas mājokļa atbilstību MK noteikumiem Nr. 512, CFLA organizē to novēršanu, tai skaitā aicina pašvaldības veikt atkārtotu mērķa grupas personas un tās mājokļa atbilstības izvērtēšanu saskaņā ar noteikumos un to pielikumā paredzētajiem kritērijiem. Par konstatētajām atkāpēm un trūkumiem CFLA informē ministriju un nepieciešamības gadījumā saskaņo atkāpju vai trūkumu novēršanas mehānismu.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1 867 441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456 691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1 867 441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456 691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2 221 796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456 691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2 220 754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456 691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-354 355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-353 313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MK noteikumu Nr. 512 līdzšinēji spēkā esošajai redakcijai 3.1.2.1.i. investīcijas otrās kārtas AF attiecināmais finansējums ir 4 777 821 </w:t>
            </w:r>
            <w:r w:rsidR="00000000" w:rsidRPr="00000000" w:rsidDel="00000000">
              <w:rPr>
                <w:sz w:val="24"/>
                <w:i w:val="1"/>
                <w:rtl w:val="0"/>
              </w:rPr>
              <w:t xml:space="preserve">euro</w:t>
            </w:r>
            <w:r w:rsidR="00000000" w:rsidRPr="00000000" w:rsidDel="00000000">
              <w:rPr>
                <w:sz w:val="24"/>
                <w:rtl w:val="0"/>
              </w:rPr>
              <w:t xml:space="preserve">, savukārt pieejamais valsts budžeta finansējums PVN izmaksu segšanai ir ne vairāk kā 947 770 </w:t>
            </w:r>
            <w:r w:rsidR="00000000" w:rsidRPr="00000000" w:rsidDel="00000000">
              <w:rPr>
                <w:sz w:val="24"/>
                <w:i w:val="1"/>
                <w:rtl w:val="0"/>
              </w:rPr>
              <w:t xml:space="preserve">euro</w:t>
            </w:r>
            <w:r w:rsidR="00000000" w:rsidRPr="00000000" w:rsidDel="00000000">
              <w:rPr>
                <w:sz w:val="24"/>
                <w:rtl w:val="0"/>
              </w:rPr>
              <w:t xml:space="preserve">. Tādējādi kopējais 3.1.2.1.i. investīcijas otrās kārtas pieejamais finansējums ir 5 727 761 </w:t>
            </w:r>
            <w:r w:rsidR="00000000" w:rsidRPr="00000000" w:rsidDel="00000000">
              <w:rPr>
                <w:sz w:val="24"/>
                <w:i w:val="1"/>
                <w:rtl w:val="0"/>
              </w:rPr>
              <w:t xml:space="preserve">euro</w:t>
            </w:r>
            <w:r w:rsidR="00000000" w:rsidRPr="00000000" w:rsidDel="00000000">
              <w:rPr>
                <w:sz w:val="24"/>
                <w:rtl w:val="0"/>
              </w:rPr>
              <w:t xml:space="preserve"> (t.sk. pašvaldību finansējums 2 170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norādīts 3.1.2.1.i. investīcijas otrās kārtas attiecināmais AF finansējums 2026. gadā 1 867 441 </w:t>
            </w:r>
            <w:r w:rsidR="00000000" w:rsidRPr="00000000" w:rsidDel="00000000">
              <w:rPr>
                <w:sz w:val="24"/>
                <w:i w:val="1"/>
                <w:rtl w:val="0"/>
              </w:rPr>
              <w:t xml:space="preserve">euro</w:t>
            </w:r>
            <w:r w:rsidR="00000000" w:rsidRPr="00000000" w:rsidDel="00000000">
              <w:rPr>
                <w:sz w:val="24"/>
                <w:rtl w:val="0"/>
              </w:rPr>
              <w:t xml:space="preserve">, VB finansējums  353 313 </w:t>
            </w:r>
            <w:r w:rsidR="00000000" w:rsidRPr="00000000" w:rsidDel="00000000">
              <w:rPr>
                <w:sz w:val="24"/>
                <w:i w:val="1"/>
                <w:rtl w:val="0"/>
              </w:rPr>
              <w:t xml:space="preserve">euro</w:t>
            </w:r>
            <w:r w:rsidR="00000000" w:rsidRPr="00000000" w:rsidDel="00000000">
              <w:rPr>
                <w:sz w:val="24"/>
                <w:rtl w:val="0"/>
              </w:rPr>
              <w:t xml:space="preserve"> un 1042 </w:t>
            </w:r>
            <w:r w:rsidR="00000000" w:rsidRPr="00000000" w:rsidDel="00000000">
              <w:rPr>
                <w:sz w:val="24"/>
                <w:i w:val="1"/>
                <w:rtl w:val="0"/>
              </w:rPr>
              <w:t xml:space="preserve">euro</w:t>
            </w:r>
            <w:r w:rsidR="00000000" w:rsidRPr="00000000" w:rsidDel="00000000">
              <w:rPr>
                <w:sz w:val="24"/>
                <w:rtl w:val="0"/>
              </w:rPr>
              <w:t xml:space="preserve"> pašvaldības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TAP saskaņošanā esošajiem grozījumiem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(26-TA-324), ar kuriem 3.1.2.2.i. investīcijas ietvaros tika samazināts finansējums, TA projekts paredz palielināt 3.1.2.1.i. investīcijas otrās kārtas pieejamo finansējumu, palielinot kopējo finansējumu par 123 967 </w:t>
            </w:r>
            <w:r w:rsidR="00000000" w:rsidRPr="00000000" w:rsidDel="00000000">
              <w:rPr>
                <w:sz w:val="24"/>
                <w:i w:val="1"/>
                <w:rtl w:val="0"/>
              </w:rPr>
              <w:t xml:space="preserve">euro</w:t>
            </w:r>
            <w:r w:rsidR="00000000" w:rsidRPr="00000000" w:rsidDel="00000000">
              <w:rPr>
                <w:sz w:val="24"/>
                <w:rtl w:val="0"/>
              </w:rPr>
              <w:t xml:space="preserve">, t.i., AF finansējumu papildu atbalstāmās darbības īstenošanai (MK noteikumu Nr. 512 grozījumi Nr. 20, kas paredz papildu atbalstāmās darbības īstenošanu, pieņemti 2026. gada 20. janvāra MK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3.1.2.1.i investīcijas pirmā kārtā (26-TA-515) ir izveidojies finansējuma atlikums, kurš nebūs nepieciešams pirmās kārtas projektu īstenošanai līdz ar to, tiek veikta AF finansējuma atlikuma 332 724 </w:t>
            </w:r>
            <w:r w:rsidR="00000000" w:rsidRPr="00000000" w:rsidDel="00000000">
              <w:rPr>
                <w:sz w:val="24"/>
                <w:i w:val="1"/>
                <w:rtl w:val="0"/>
              </w:rPr>
              <w:t xml:space="preserve">euro</w:t>
            </w:r>
            <w:r w:rsidR="00000000" w:rsidRPr="00000000" w:rsidDel="00000000">
              <w:rPr>
                <w:sz w:val="24"/>
                <w:rtl w:val="0"/>
              </w:rPr>
              <w:t xml:space="preserve"> pārdale 3.1.2.1.i investīcijas otrās kārtas papildu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pēc finansējuma pārdales 3.1.2.1.i. investīcijas otrās kārtas kopējais pieejamais finansējums būs 6 182 282 </w:t>
            </w:r>
            <w:r w:rsidR="00000000" w:rsidRPr="00000000" w:rsidDel="00000000">
              <w:rPr>
                <w:sz w:val="24"/>
                <w:i w:val="1"/>
                <w:rtl w:val="0"/>
              </w:rPr>
              <w:t xml:space="preserve">euro</w:t>
            </w:r>
            <w:r w:rsidR="00000000" w:rsidRPr="00000000" w:rsidDel="00000000">
              <w:rPr>
                <w:sz w:val="24"/>
                <w:rtl w:val="0"/>
              </w:rPr>
              <w:t xml:space="preserve">, t.sk. AF finansējums 5 234 512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paliek nemainīgs – ne vairāk kā 947 770 </w:t>
            </w:r>
            <w:r w:rsidR="00000000" w:rsidRPr="00000000" w:rsidDel="00000000">
              <w:rPr>
                <w:sz w:val="24"/>
                <w:i w:val="1"/>
                <w:rtl w:val="0"/>
              </w:rPr>
              <w:t xml:space="preserve">euro, </w:t>
            </w:r>
            <w:r w:rsidR="00000000" w:rsidRPr="00000000" w:rsidDel="00000000">
              <w:rPr>
                <w:sz w:val="24"/>
                <w:rtl w:val="0"/>
              </w:rPr>
              <w:t xml:space="preserve">kā arī papildus pašvaldību finansējums 2 170</w:t>
            </w:r>
            <w:r w:rsidR="00000000" w:rsidRPr="00000000" w:rsidDel="00000000">
              <w:rPr>
                <w:sz w:val="24"/>
                <w:i w:val="1"/>
                <w:rtl w:val="0"/>
              </w:rPr>
              <w:t xml:space="preserve">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otrās kārtas projektu īstenošanas izdevumu prognoze balstīta uz finansējuma saņēmēju KP VIS iesniegto projekta budžeta kopsavilkuma datiem, plānoto maksājumu pieprasījumu iesniegšanas grafiku informāciju, faktisko izdevumu izpildi pēc iesniegtajiem un samaksātajiem progresa pārskatiem, kā arī balstoties uz projektu finansējuma samazinājumiem.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3.1.2.1.i. investīcijas otrās kārtas projektu darbību īstenošanai izmantotais finansējums (2024., 2025. gadā) indikatīvi bija 3 505 965 </w:t>
            </w:r>
            <w:r w:rsidR="00000000" w:rsidRPr="00000000" w:rsidDel="00000000">
              <w:rPr>
                <w:sz w:val="24"/>
                <w:i w:val="1"/>
                <w:rtl w:val="0"/>
              </w:rPr>
              <w:t xml:space="preserve">euro</w:t>
            </w:r>
            <w:r w:rsidR="00000000" w:rsidRPr="00000000" w:rsidDel="00000000">
              <w:rPr>
                <w:sz w:val="24"/>
                <w:rtl w:val="0"/>
              </w:rPr>
              <w:t xml:space="preserve"> (t.sk. AF finansējums 2 910 380 </w:t>
            </w:r>
            <w:r w:rsidR="00000000" w:rsidRPr="00000000" w:rsidDel="00000000">
              <w:rPr>
                <w:sz w:val="24"/>
                <w:i w:val="1"/>
                <w:rtl w:val="0"/>
              </w:rPr>
              <w:t xml:space="preserve">euro</w:t>
            </w:r>
            <w:r w:rsidR="00000000" w:rsidRPr="00000000" w:rsidDel="00000000">
              <w:rPr>
                <w:sz w:val="24"/>
                <w:rtl w:val="0"/>
              </w:rPr>
              <w:t xml:space="preserve"> un VB finansējums 594 457 </w:t>
            </w:r>
            <w:r w:rsidR="00000000" w:rsidRPr="00000000" w:rsidDel="00000000">
              <w:rPr>
                <w:sz w:val="24"/>
                <w:i w:val="1"/>
                <w:rtl w:val="0"/>
              </w:rPr>
              <w:t xml:space="preserve">euro</w:t>
            </w:r>
            <w:r w:rsidR="00000000" w:rsidRPr="00000000" w:rsidDel="00000000">
              <w:rPr>
                <w:sz w:val="24"/>
                <w:rtl w:val="0"/>
              </w:rPr>
              <w:t xml:space="preserve"> (PVN izmaksu segšanai) un t.sk. pašvaldību finansējums 1128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2026. gada projektu īstenošanai plānotās finansējuma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prognozētais projektu īstenošanas finansējums ir 2 678 487 </w:t>
            </w:r>
            <w:r w:rsidR="00000000" w:rsidRPr="00000000" w:rsidDel="00000000">
              <w:rPr>
                <w:sz w:val="24"/>
                <w:i w:val="1"/>
                <w:rtl w:val="0"/>
              </w:rPr>
              <w:t xml:space="preserve">euro </w:t>
            </w:r>
            <w:r w:rsidR="00000000" w:rsidRPr="00000000" w:rsidDel="00000000">
              <w:rPr>
                <w:sz w:val="24"/>
                <w:rtl w:val="0"/>
              </w:rPr>
              <w:t xml:space="preserve">(t.sk. AF finansējums 2 324 132</w:t>
            </w:r>
            <w:r w:rsidR="00000000" w:rsidRPr="00000000" w:rsidDel="00000000">
              <w:rPr>
                <w:sz w:val="24"/>
                <w:i w:val="1"/>
                <w:rtl w:val="0"/>
              </w:rPr>
              <w:t xml:space="preserve"> euro</w:t>
            </w:r>
            <w:r w:rsidR="00000000" w:rsidRPr="00000000" w:rsidDel="00000000">
              <w:rPr>
                <w:sz w:val="24"/>
                <w:rtl w:val="0"/>
              </w:rPr>
              <w:t xml:space="preserve">, VB finansējums 353 313 </w:t>
            </w:r>
            <w:r w:rsidR="00000000" w:rsidRPr="00000000" w:rsidDel="00000000">
              <w:rPr>
                <w:sz w:val="24"/>
                <w:i w:val="1"/>
                <w:rtl w:val="0"/>
              </w:rPr>
              <w:t xml:space="preserve">euro</w:t>
            </w:r>
            <w:r w:rsidR="00000000" w:rsidRPr="00000000" w:rsidDel="00000000">
              <w:rPr>
                <w:sz w:val="24"/>
                <w:rtl w:val="0"/>
              </w:rPr>
              <w:t xml:space="preserve"> (PVN izmaksu segšanai) un t.sk. pašvaldību finansējums 1042 </w:t>
            </w:r>
            <w:r w:rsidR="00000000" w:rsidRPr="00000000" w:rsidDel="00000000">
              <w:rPr>
                <w:sz w:val="24"/>
                <w:i w:val="1"/>
                <w:rtl w:val="0"/>
              </w:rPr>
              <w:t xml:space="preserve">euro</w:t>
            </w:r>
            <w:r w:rsidR="00000000" w:rsidRPr="00000000" w:rsidDel="00000000">
              <w:rPr>
                <w:sz w:val="24"/>
                <w:rtl w:val="0"/>
              </w:rPr>
              <w:t xml:space="preserve"> (esošajiem otrās kārtas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512 20.7. apakšpunktā minētās atbalstāmās darbības īstenošanai nepieciešamās PVN izmaksas kā to paredz MK noteikumu Nr. 512 10.2. apakšpunkts tiks segtas no pašvaldības budžeta vai privātā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otrās kārtas projektu īstenošanai nepieciešamais finansējums tiek plānots Finanšu ministrijas valsts budžeta apakšprogrammā 74.07.00 "Atveseļošanas un noturības mehānisma (ANM) finansējums projektu un pasākumu īstenotājiem".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(26-TA-324)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3.1.2.2.i investīcijas finansējuma ietaupījuma pārdali 3.1.2.1.i. investīcijas otrās kārtas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(26-TA-515)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3.1.2.1.i investīcijas pirmās kārtas finansējuma ietaupījuma pārdali 3.1.2.1.i. investīcijas otrās kārtas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izteikt Noteikumu Nr. 512 3. pielikumu jaunā redakcijā. Neskatoties uz to, ka šo noteikumu 3. pielikums izteikts jaunā redakcijā, tajā paredzētie personas datu apstrādes faktiskie apstākļi nemainās. Piemēru veidā ir precizēti skaidrojumi piemērotajiem kritērijiem, lai veiktu atbilstības pārbaudes un mazinātu ar tiesību normu interpretāciju saistītos neskaidros jautājumus. Noteikumu projekta 3. pielikums neparedz ne šaurāku, ne plašāku personas datu apjomu, salīdzinot ar šobrīd veicamo, kā arī nemaina citus personas datu apstrādes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investīcijas 3.1.2.1.i. investīcijas otrās kārtas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26-TA-296</w:t>
    </w:r>
    <w:r>
      <w:br/>
    </w:r>
    <w:r w:rsidR="00000000" w:rsidRPr="00000000" w:rsidDel="00000000">
      <w:rPr>
        <w:rtl w:val="0"/>
      </w:rPr>
      <w:t xml:space="preserve">Izdrukāts 29.07.2026. 23.29 - 3.0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26-TA-296</w:t>
    </w:r>
    <w:r>
      <w:br/>
    </w:r>
    <w:r w:rsidR="00000000" w:rsidRPr="00000000" w:rsidDel="00000000">
      <w:rPr>
        <w:rtl w:val="0"/>
      </w:rPr>
      <w:t xml:space="preserve">Izdrukāts 29.07.2026. 23.29 - 3.0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anotācija_(ex_ante)_26-TA-296.docx</dc:title>
</cp:coreProperties>
</file>

<file path=docProps/custom.xml><?xml version="1.0" encoding="utf-8"?>
<Properties xmlns="http://schemas.openxmlformats.org/officeDocument/2006/custom-properties" xmlns:vt="http://schemas.openxmlformats.org/officeDocument/2006/docPropsVTypes"/>
</file>