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16. jūnija noteikumos Nr. 383 "Noteikumi par garantijām saimnieciskās darbības veicējiem konkurētspējas uzlabošanai""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16. jūnija noteikumos Nr. 383 "Noteikumi par garantijām saimnieciskās darbības veicējiem konkurētspējas uzlabošanai"" (turpmāk - MK noteikumu projekts)  ir izstrādāts, lai precizētu vairākus MK noteikumu projekta punktus, kas saistīti ar atbalsta saņemšanas nosacījumiem un to ierobežojumiem.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precizēt vairākus MK noteikumu projekta punktus, kas saistīti ar garantijas apmēra palielināšanu , atbalsta saņemšanas nosacījumiem un to ierobežojumiem.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383 nosaka atbalsta piešķiršanas nosacījumus garantiju veidā, saimnieciskās darbības veicēju konkurētspējas uzlabošanai pieejamo finansējumu un kārtību, kādā īsteno šādus specifiskā atbalsta mērķa pasākumiem 3.1.1.1 "Aizdevumu garantijas", 13.1.1.1. "MVU izveide un attīstība",  un 1.2.3.4.  "Garantijas, portfeļgarantijas pilna cikla uzņēmējdarbībai", kur garantijas saimnieciskās darbības veicējiem piešķir akciju sabiedrība "Attīstības finanšu institūcija Altum" (turpmāk – sabiedrība "Altum"). Saskaņā ar Ministru kabineta 2020. gada 16. jūnija noteikumiem Nr. 383 "Noteikumi par garantijām saimnieciskās darbības veicējiem konkurētspējas uzlabošanai". (turpmāk - MK noteikumi Nr. 383), vienam sīkajam (mikro), mazajam un vidējam saimnieciskās darbības veicējam un ar to saistīto personu grupai garantijas summa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bruto subsīdijas ekvivalents tiek aprēķināts saskaņā ar Komisijas regulas Nr. 2023/2831 4. panta 6. punkta "c" apakšpunktu,  – 5 000 000 euro vai 7 000 000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bruto subsīdijas ekvivalents tiek aprēķināts saskaņā ar Komisijas regulas Nr. 2023/2831 4. panta 6. punkta "b" apakšpunktu, – Komisijas regulas Nr. 2023/2831 4. panta 6. punkta "b" apakšpunktā noteiktās garantijas summas un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uzņēmējdarbības vidi un ES regulas nosacījumus, nepieciešams palielināt garantijas summu gadījumā, ja bruto subsīdijas ekvivalents tiek aprēķināts saskaņā ar Komisijas regulas Nr. 2023/2831 4. panta 6. punkta "c" apakšpunktu. Tas stiprinās uzņēmumu piekļuvi finansējumam, atvieglos investīciju projektus un nodrošinās stabilāku tautsaimniecības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Igaunijā vienas individuālās garantiju maksimālais limits ir 25 000 000 euro, savukārt Lietuvā uz vienu darījumu tas ir 5 000 000 euro, bet kopā uz vienu klienta grupu līdz 10 000 000 euro. Līdz ar to Latvijā ir viszemākais individuālo garantiju limits. MK noteikumu projekts, palielinot individuālo garantiju apmēru, ļaus piesaistīt vairāk garantiju lielākiem darījumiem.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Garantiju apmēra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mazo un vidējo uzņēmumu (MVU) attīstību Latvijā, ir būtiski nodrošināt tiem pieejamu un pietiekami apjomīgu valsts atbalstu, īpaši attiecībā uz garantijām, kas veicina uzņēmumu spēju saņemt finansējumu investīcijām un attīstībai. Pašlaik spēkā esošais garantijas apmērs 5 000 000 euro vai 7 000 000 euro  ir nozīmīgs atbalsts, tomēr, ņemot vērā Komisijas regulas (ES) Nr. 2023/2831 4. panta 6. punkta "c" apakšpunktu, nepieciešams palielināt garantijas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tautsaimniecībā dominē MVU, kas veido vairāk nekā 99% no visiem uzņēmumiem. Lielākā daļa šo uzņēmumu darbojas nozarēs, kur nepieciešamas ievērojamas sākotnējās investīcijas un apgrozāmie līdzekļi, piemēram, rūpniecībā, lauksaimniecībā un tehnoloģiju sektorā. Pieaugošās uzņēmējdarbības izmaksas un ekonomiskā nenoteiktība prasa valsts atbalsta instrumentu pielāgošanu realitātei, līdz ar to pēc notikušajām sarunām ar nozari un aizvien pieaugošo pieprasījumu pēc garantijām, MK noteikumu projekts paredz palielināt šobrīd noteikto garantiju apjomu uz 25 000 000 euro. Pašlaik mazas un vidējas kapitalizācijas uzņēmumiem, kā arī lieliem komersantu maksimālais garantijas apmērs atbilstoši de minimis regulējumam ir 2.25 milj. EUR, līdz ar to noteikumu projekts paredz iespēju lielāku garantiju gadījumā un ja nav pieejams brīvs de minimis limits vismaz aprēķinātā subsīdijas ekvivalenta apmērā atbalstu piešķirt saskaņā ar regulu 651/2014, tāpēc noteikumu projektā pievienots 16.2 punkts un tā apakšpunkti, kas paredz nosacījumus atbalsta saņemšanai ar Komisijas regulu Nr. 651/2014. Vienlaikus tā kā subsīdijas ekvivalenta aprēķins saskaņā ar EK paziņojumu par garantijām ir piemērojams tikai MVU, papildus noteikumu projektam ekvivalenta aprēķina metodiku lieliem komersantiem notificēs Eiropas Komisijai. Papildus noteikumu projekts papildināts ar Regulas 651/2014 normām attiecībā uz tām garantijām, kas sniegts saskaņā ar Regulas 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garantijas summu, MVU varēs veikt apjomīgākas investīcijas, attīstīt jaunas tehnoloģijas, palielināt produktivitāti un stiprināt konkurētspēju gan vietējā, gan starptautiskajā tirgū. Tas veicinās nodarbinātību, inovācijas un kopējo tautsaimniecības izaugsmi.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Eiropas Savienības kohēzijas politikas programmas 2021. - 2027.gadam 1.2.3.4. pasākuma īstenošanā esošos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šīm MK noteikumi Nr. 383 paredzēja, ka lielajiem saimnieciskās darbības veicējiem garantijas summu aprēķina saskaņā ar Komisijas regulas Nr. 2023/2831 4. panta 6. punkta "b" apakšpunktu, – Komisijas regulas Nr. 2023/2831 4. panta 6. punkta "b" apakšpunktā noteiktās garantijas summas un termiņus, lai radītu vienlīdzīgus nosacījumus visiem, nepieciešams precizēt MK noteikumu Nr. 383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 383 ierobežo sadarbības partneru loku, lai paplašinātu iespējas saņemt atbalstu programmas ietvaros, nepieciešams labot MK noteikumu Nr. 383 6. punktu, paplašinot atbalsta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finansētāju paplašināšana pozitīvi ietekmēs 1.2.3.4. pasākuma noteikto rādītāju sasniegšanu. Ņemot vērā, ka pašlaik vairāk nekā 90% no ALTUM izsniegtajām garantijām veido 4 lielāko finansētāju izsniegtie garantētie aizdevumi, kopumā nav paredzama būtiska ietekme uz rādītāju sasniegšanu, tomēr var veicināt pastarpinātus ieguvumus komersantiem, veicinot pozitīvu konkurenci un nosakot labvēlīgākus aizdevuma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noteikumu projektu tiek palielināts garantiju apmērs līdz 25 000 000 euro, nepieciešams noteikt arī sabiedrībai “Altum” pieejamā finansējuma avotu garantiju segšanai, kas lielākas par 10 000 000 euro, attiecīgi papildinot noteikumu projektu ar pieejamā atmaksātā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14-20 finansējuma atmaksas plānots izmanot tajā pašā programmā, Ekonomikas ministrija piedāvā, ka minēto 14-20 atmaksu finansējumu var izmantot ari lielo komersantu finansēšanai, jo 1303/13 regula skaidri to nepasaka, ka atmaksas ir aizliegtas izmantot lielo komersantu finansēšanai. "izmanto atbilstoši programmas vai programmu mērķiem vai nu tajā pašā finanšu instrumentā, vai pēc finanšu instrumenta izmantošanas beigām citos finanšu instrumentos, abos gadījumos ar noteikumu, ka tirgus apstākļu izvērtējums parāda joprojām pastāvošu vajadzību pēc šādas investīcijas vai citiem atbalsta veidiem. " Minēto finansējumu plānots izmantot šajā paša finanšu instrumentā, kas nepārkāpj regulas prasības un risina to pašu tirgus nepilnību. Jo regulas 45.panta minētās 1) policy objectives ir plašākas nekā saņēmēju mērķa grupa. 2) programma regulas izpratnē ir Darbības programma LV 2014-2020 nevis konkrētā atbalsta programma; 3) darbības programmā bija iespēja arī lielajiem saņemt atbalstu piemēram grantos ; 4) iespēja pārvietot finansējumu gan citiem FI, gan vispār cita veida atbalstiem. Tā ka galvenais ir atrast darbības programmā 2014-2020 politikas mērķi (produktivitāte, darba vietas, konkurētspēja, u.tml.), ar ko var pamatot nepieciešamību saņemt lielajiem garantijas.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Garantiju apmēra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383  12.1. apakšpunktā precizēts garantijas apmērs, nosakot, ka tas ir 25 000 000 euro, ja garantijas sākotnējais termiņš nepārsniedz 10 gadus. Šāds garantijas apmēra palielinājums radīs lielāku interesi par garantiju saņemšanu Latvijā, konkurējot ar pārējām Baltijas valstīm, kur šo garantiju apmērs ir lielāks.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minēts subsīdijas ekvivalenta aprēķins, kas ir atkarīgs no tā, kāds ir komersanta statuss (MVU vai lielais komersants) un ar kādu regulu atbalsts tiek sniegts - de minimis vai Regulu 651/2014. Ekvivalenta aprēķina kārtība neatšķiras no vispārējās kārtības, kāda tā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vienādus nosacījumus visiem saimnieciskās darbības veicējiem, precizēts MK noteikumu Nr. 383 13. punkts, papildinot, ka MK noteikumu Nr. 383 12.2. apakšpunktā minētais nosacījums attiecas ne tikai uz lielajiem saimnieciskās darbības veicējiem, bet arī uz mazajiem vidējās kapitalizācijas un vidējās kapitalizācijas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atbalsta saņēmēju loku, MK noteikumu projektā veikti precizējumi 6. punktā, nosakot, ka atbalstu saņemt var kredītiestādes vai tās meitas sabiedrības, kas ir Eiropas Savienības vai Eiropas Ekonomikas zonas valsts,  vai alternatīvā finansējuma pakalpojuma sniedzējs tai skaitā finanšu tehnoloģijās balstītu finanšu pakalpojumu sniedzējs), kurš reģistrēts Latvijā un ir tiesīga sniegt finanšu pakalpojumus Latvijā. Kā arī noteikti papildus kritēriji, ja līgums tiek slēgts ar alternatīvā finanšu pakalpojumu sniedzēju. Šādas izmaiņas paver iespējas atbalstu saņemt arī ārvalstu kredītiestādēm, kam ir interese par Latvijas tirgu un investīcijām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sabiedrības "Altum" pieejamo finansējumu garantiju sniegšanai, kas ir lielākas par 10 000 000 euro, MK noteikumu projektā pievienots 7.6. apakšpunkts, kas nosaka, ka finansējums šādām garantijām ir paredzēts no "Altum" īstenoto finanšu instrumentu programmu – tai skaitā 2014.-2020.g.gad ES fondu plānošanas perioda, kā arī Covid-19 finanšu instrumentu programmu atmaksām.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garantiju izsniegšanu pietiekamā apjomā, precizēta redakciju 7.punktam un tā apakšpunktiem attiecībā uz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MVU un midcap finansēšanai primāri izmantojams 21-27 perioda ERAF finansējums 1.2.3.4 pasākuma ietvaros (t.sk. "lielajām" garantijām), savukārt tiem MVU, kas neatbilst ERAF nosacījumiem un lielajiem komersantiem kas nav midcaps, izmantojams šo noteikumu ietvaros minētais atmaksu finansējums. Noteikumos minētie atmaksu finanšu avoti (izņemot precizētajā 7.12. punktā minēto 14-20 atmaksu finansējumu, kur kā skaidrojām iepriekš regula skaidri arī neaizliedz finansēt ne tikai MVU) ir 7-13 perioda ES fondu atmaksu finansējums vai valsts budžeta finansējums, kuru var izmantot lielo komersantu finansēšanai. Arī COVID-19 finansējumu var izmantot lielo komersantu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programmas ietvaros pieejamais finansējums, kuru pēc 7.punkta precizēšanas var izmantot garantiju piešķiršanai līdz 25M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Garantijām MVU un midcaps pieejams 21-27 perioda finansējums 1.2.3.4 pasākuma ietvaros  34 543 165 EUR (t.sk. 9 869 476 pārdalīts no portfeļgarantiju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kuru var izmantot lielajiem komersantiem vai komersantiem (t.sk. MVU), kur garantija neatbilst ERAF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- 7 700 000 EUR (7.2. punktā minētais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Līdzšinējā noteikumu projekta 7.3. un tā apakšpunktos minētais finansējums 9 313 476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ar grozījumiem piešķirtais finansējums kopumā 12 770 000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*2 000 000 eur (14-20 perioda atmaksas – līdzšinējā izprante, ka to var izmantot tikai MVU, bet regula to skaidri nenosaka. Plānots izmantot tai pašā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8 300 000 (Covid 19 garantiju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477 000 (Covid19 PG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*2 000 000 (Covid19 aizdevumu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precizēto numerāciju, projektā papildus precizētas normas, kur iekļautas specifiskas atsauces uz atmaksu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9.2. apakšpunkts, kas paredz, ka refinansēšana iespējama ne vien ALTUM aizdevumiem, bet ari ALTUM kapitāla fonda izsniegtajiem aizdevumiem, kas pašreizējā MK noteikumu redakcijā nav atļauts. Saņemta informācija, ka bankas būtu gatavas refinansēt ALTUM kapitāla fonda izsniegtos ieguldījumus, un tiem piesaistīt ALTUM garantiju, tomēr esošā redakcija nepieļauj garantiju piesaisti, ja sniegts ieguldījums kapitāla ieguldījuma veida, līdz ar to punkts papildināts, iekļaujot, ka var būt jebkāds finanšu instruments, tostarp jebkāds ieguldījums, kas ticis veikts ar sabiedrības “Altum” atbalsta programmas finansējumu vai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paredzēts sniegt atbalstu gan saskaņā ar Komisijas regulu Nr. 2023/2831, gan ar Komisijas regulu Nr. 651/2014. Ņemot vērā uzņēmuma iesniegto pieteikumu par nepieciešamo atbalsta apmēru, sabiedrība “Altum” vērtēs, saskaņā ar kuru no regulējumiem ir iespējams piešķirt atbalstu, ņemot vērā, ka abu regulu ietvaros uzņēmumiem ir pieejami dažādi atbalsta sliekšņi un nosacījumi, t.sk., ierobežojumi. MK noteikumu projekts papildināts ar jauniem punktiem, kas paredz atbalsta saņemšanu ar Komisijas regulu Nr. 651/2014, piemēram, 16.²punkts un tā apakšpunkti, 30.</w:t>
      </w:r>
      <w:r w:rsidR="00000000" w:rsidRPr="00000000" w:rsidDel="00000000">
        <w:rPr>
          <w:vertAlign w:val="superscript"/>
          <w:rtl w:val="0"/>
        </w:rPr>
        <w:t xml:space="preserve">1 </w:t>
      </w:r>
      <w:r w:rsidR="00000000" w:rsidRPr="00000000" w:rsidDel="00000000">
        <w:rPr>
          <w:rtl w:val="0"/>
        </w:rPr>
        <w:t xml:space="preserve"> punkts un apakšpunkti. Ja atbalsts tiks sniegts saskaņā ar Komisijas Regulu Nr. 651/2014, bruto dotācijas ekvivalents tiks aprēķināts saskaņā ar KEM un Altum izstrādāto metodoloģiju, kas minēta noteikumu projekta 45.punktā.</w:t>
      </w:r>
      <w:r w:rsidR="00000000" w:rsidRPr="00000000" w:rsidDel="00000000">
        <w:rPr>
          <w:rtl w:val="0"/>
        </w:rPr>
        <w:t xml:space="preserve">Vienlaikus tiek skaidrots, ka jebkurā gadījumā pasākuma ietvaros atbalstu ar Regulas Nr.651/2014 14.pantu var saņemt tikai tad, ja aizdevums, par kuru tiek sniegta garantija, ir saistīts ar sākotnējiem ieguldījumiem projektā, kā arī ir jāievēro atbalsta stimulējošās ietekmes nosacījums, t.i. projekts nevar tik uzsākts ātrāk, kā iesniegts projekta pieteikums, un ka šos nosacījumus pirms garantijas izsniegšanas pārbauda garantijas devējs - Altum. </w:t>
      </w:r>
      <w:r w:rsidR="00000000" w:rsidRPr="00000000" w:rsidDel="00000000">
        <w:rPr>
          <w:rtl w:val="0"/>
        </w:rPr>
        <w:t xml:space="preserve">Precizēts 14</w:t>
      </w:r>
      <w:r w:rsidR="00000000" w:rsidRPr="00000000" w:rsidDel="00000000">
        <w:rPr>
          <w:vertAlign w:val="superscript"/>
          <w:rtl w:val="0"/>
        </w:rPr>
        <w:t xml:space="preserve">1</w:t>
      </w:r>
      <w:r w:rsidR="00000000" w:rsidRPr="00000000" w:rsidDel="00000000">
        <w:rPr>
          <w:rtl w:val="0"/>
        </w:rPr>
        <w:t xml:space="preserve">. punkts, jo lemjot par garantijas piešķiršanu ir jānosaka maksimālais iespējamais garantijas termiņš, summa un atbalsta intensitāte, jo jaunu lēmumu par papildus atbalsta piešķiršanu vairs pieņemt nevarēs.</w:t>
      </w:r>
      <w:r w:rsidR="00000000" w:rsidRPr="00000000" w:rsidDel="00000000">
        <w:rPr>
          <w:rtl w:val="0"/>
        </w:rPr>
        <w:t xml:space="preserve">MK Noteikumu projekts neietekmē Eiropas Savienības kohēzijas politikas programmas 2021. - 2027.gadam 1.2.3.4. pasākuma īstenošanā esošos projektus. Vienlaikus pēc MK Noteikumu projekta spēkā stāšanās uzņēmumiem būs iespēja pārskatīt nepieciešamā atbalsta apmēru un vienoties ar sabiedrību “Altum” par turpmākajiem līguma nosacījumiem.</w:t>
      </w:r>
      <w:r w:rsidR="00000000" w:rsidRPr="00000000" w:rsidDel="00000000">
        <w:rPr>
          <w:rtl w:val="0"/>
        </w:rPr>
        <w:t xml:space="preserve">Atbalstu saskaņā ar Komisijas regulu Nr. 651/2014 varēs sniegt, kad Eiropas Komisija apstiprinās MKN 21. punktā minēto metodiku, līdz tam iekļauti pārejas nosacījumi (45.punkts).</w:t>
      </w:r>
      <w:r w:rsidR="00000000" w:rsidRPr="00000000" w:rsidDel="00000000">
        <w:rPr>
          <w:b w:val="1"/>
          <w:rtl w:val="0"/>
        </w:rPr>
        <w:t xml:space="preserve">Atbalsts militārajiem projektiem</w:t>
      </w:r>
      <w:r w:rsidR="00000000" w:rsidRPr="00000000" w:rsidDel="00000000">
        <w:rPr>
          <w:rtl w:val="0"/>
        </w:rPr>
        <w:t xml:space="preserve">Papildus noteikumu projekts papildināts ar 5.1 punktu, kas nosaka, ka, garantijas, kas šo noteikumu ietvaros tiek piešķirtas militāru projektu īstenošanai, nav kvalificējams kā komercdarbības atbalsts, un tam nav jāpiemēro šajos noteikumos ietvertie Komisijas regulas Nr. 2023/2831 vai Komisijas regulas  Nr.651/2014 nosacījumi.  Tādējādi arī garantijām var pieteikties šīs jomas pārstāvji. Piesakoties atbalstam militāro projektu īstenošanai,  būs nepieciešams saņemt atzinumu no Aizsardzības ministrijas par  militārā projekta atbilstību drošības interesēm, kas saistītas ar ieroču, munīcijas un militārā aprīkojuma ražošanu. Lai saņemtu atzinumu, komersantam jāvēršas Aizsardzības ministrijā ar iesniegumu, kuram pievienots apraksts par militārā projekta atbilstību drošības interesēm, kas saistītas ar ieroču, munīcijas un militārā aprīkojuma ražošanu (turpmāk – apraksts). Aprakstā tiek norādīta sekojoša informācija:</w:t>
      </w:r>
      <w:r w:rsidR="00000000" w:rsidRPr="00000000" w:rsidDel="00000000">
        <w:rPr>
          <w:rtl w:val="0"/>
        </w:rPr>
        <w:t xml:space="preserve">1)Informācija par militārā projekta būtību (kādi produkti tiks ražoti, kāds ir plānotais ražošanas apjoms, jaudas un jebkura cita informācija, kas palīdz izvērtēt produkta pielietojumu, unikalitāti un citus aspektus)</w:t>
      </w:r>
      <w:r w:rsidR="00000000" w:rsidRPr="00000000" w:rsidDel="00000000">
        <w:rPr>
          <w:rtl w:val="0"/>
        </w:rPr>
        <w:t xml:space="preserve">2) Komersanta līdzšinējā pieredze tāda paša vai līdzīga militārā projekta īstenošanā</w:t>
      </w:r>
      <w:r w:rsidR="00000000" w:rsidRPr="00000000" w:rsidDel="00000000">
        <w:rPr>
          <w:rtl w:val="0"/>
        </w:rPr>
        <w:t xml:space="preserve">3) Saikne ar Latvijas Nacionālo bruņoto spēku ilgtermiņa attīstību (ja attiecināms, norādot informāciju, balstoties uz, piemēram, Nacionālo bruņoto spēku ilgtermiņa attīstības 2025 –2036 kopsavilkumu, Aizsardzības industrijas un inovāciju atbalsta stratēģiju 2025 – 2036, , Vadlīnijām aizsardzības un drošības industrijas iesaistei aizsardzības spēju stiprināšanā)</w:t>
      </w:r>
      <w:r w:rsidR="00000000" w:rsidRPr="00000000" w:rsidDel="00000000">
        <w:rPr>
          <w:rtl w:val="0"/>
        </w:rPr>
        <w:t xml:space="preserve">4) Sadarbība ar Latvijas un NATO/ES valstu bruņotajiem spēkiem (norādot visas līdzšinējās sadarbības, noslēgtos līgumus, dalību iepirkumos, tirgus izpētēs, testos, mācībās u.c. sadarbības formātos)</w:t>
      </w:r>
      <w:r w:rsidR="00000000" w:rsidRPr="00000000" w:rsidDel="00000000">
        <w:rPr>
          <w:rtl w:val="0"/>
        </w:rPr>
        <w:t xml:space="preserve">5) Plānotais noieta tirgus (potenciālie klienti, tirgus segmenti, ģeogrāfiskās teritorijas)</w:t>
      </w:r>
      <w:r w:rsidR="00000000" w:rsidRPr="00000000" w:rsidDel="00000000">
        <w:rPr>
          <w:rtl w:val="0"/>
        </w:rPr>
        <w:t xml:space="preserve">6) Projekta partneri (norādīt visus projekta īstenošanā iesaistītos partnerus – gan tos, ar kuriem jau ir līgumiskas vienošanās, gan tos, ar kuriem vēl notiek sarunas, gan tos, kurus vēl plānots uzrunāt)</w:t>
      </w:r>
      <w:r w:rsidR="00000000" w:rsidRPr="00000000" w:rsidDel="00000000">
        <w:rPr>
          <w:rtl w:val="0"/>
        </w:rPr>
        <w:t xml:space="preserve">7) Projekta finansētāji, investori (norādīt gan tos, ar kuriem jau ir uzņemtas saistības (hard commitment), gan tos, kuri ir pauduši atbalstu iesaistīties pie noteiktiem apstākļiem (soft commitment)</w:t>
      </w:r>
      <w:r w:rsidR="00000000" w:rsidRPr="00000000" w:rsidDel="00000000">
        <w:rPr>
          <w:rtl w:val="0"/>
        </w:rPr>
        <w:t xml:space="preserve">Aizsardzības ministrija izvērtēs aprakstā iekļauto informāciju un, ja nepieciešams, lūgs papildu informāciju, lai sniegtu atzinumu, vai komersanta pieteiktais militārais projekts ir vai nav uzskatāms par atbilstošu drošības interesēm, kas saistītas ar ieroču, munīcijas un militārā aprīkojuma ražošanu.</w:t>
      </w:r>
      <w:r w:rsidR="00000000" w:rsidRPr="00000000" w:rsidDel="00000000">
        <w:rPr>
          <w:rtl w:val="0"/>
        </w:rPr>
        <w:t xml:space="preserve">Ņemot vērā, ka ka militāriem projektiem komercdarbības atbalsta regulējuma nosacījumi nav jāpiemēro, jo gadījumā, ja publiskā finansējuma piešķiršana (jebkādā formā) saimnieciskās darbības veicējiem ir paredzēta to īstenotajām darbībām vienīgi militārajā jomā (atbilstoši Līguma par Eiropas Savienības darbību 346.panta 1.daļas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Līdz ar to  finansējumu izsniedz kā atbalstu, kurš ir brīvs no komercdarbības atbalsta, ja tiek īstenots militārais projekts, un šādiem projektiem nav jāpiemēro Komisijas regulas Nr.  651/2014 vai Komisijas Regulas Nr. 2023/2831 nosacījumi. Savukārt garantijas, ko piešķir divējāda lietojuma produktu un tehnoloģiju jomā, izsniedz atbilstoši noteikumu 5. punktam, kam piemēro šajos noteikumos iekļautos Komisijas regulas Nr. 2023/2831 vai Komisijas regulas  Nr.651/2014 nosacījumus, jo projekts tiek īstenots saimnieciskās darbības nolūkos un to ir iespējams komercializēt gan civilā, gan militārā jomā tādējādi ar projektu netiek īstenota tikai valsts drošības intereses, kas ir valsts ekskluzīva kompetence. Garantijām, ko piešķir divējāda lietojuma produktu un tehnoloģiju jomā Aizsardzības ministrijas atzinums nav nepieciešams. Aizsardzības ministrija sniedz atzinumu tikai par projekta atbilstību militārai specifikai. Ja komersanta projekts netiek atzīts par militāro projektu, kas atbilst drošības interesēm, kas saistītas ar ieroču, munīcijas un militārā aprīkojuma ražošanu  tad atbalstu piešķirs saskaņā ar noteikumu 5. punktu jeb piemēros noteikumos ietvertos Komisijas regulas Nr. 2023/2831 vai Komisijas regulas  Nr.651/2014 komercdarbība atbalsta nosacījumus. Militārajiem projektiem atbalsts tiek sniegts saskaņā ar Valsts budžetā pieejamo finansējumu, saskaņā ar šo noteikumu 7.7. apakšpunktā norādīto apmēru.</w:t>
      </w:r>
      <w:r w:rsidR="00000000" w:rsidRPr="00000000" w:rsidDel="00000000">
        <w:rPr>
          <w:b w:val="1"/>
          <w:rtl w:val="0"/>
        </w:rPr>
        <w:t xml:space="preserve">Tehniskie precizējumi</w:t>
      </w:r>
      <w:r w:rsidR="00000000" w:rsidRPr="00000000" w:rsidDel="00000000">
        <w:rPr>
          <w:rtl w:val="0"/>
        </w:rPr>
        <w:t xml:space="preserve">Saskaņā ar Eiropas Savienības kohēzijas politikas programma 2021.–2027.gadam  no SAM 1.2.2. svītrots finanšu instrumentu atbalsts (digitalizācijas garantijas). ņemot vērā to, ka 1.2.3. SAM ietvaros jau tiek nodrošināts atbalsts garantijām Finanšu instrumentu (turpmāk – FI) veidā, attiecīgi digitalizācijas garantijām paredzētai finansējums 4 190 000 euro apmērā tiek pārcelts uz 1.2.3.3. pasākumu. Veikti precizējumi MK noteikumu projektā, dzēšot atsauces uz 1.2.2.2. pasākumu, jo no SAM 1.2.2. svītrots finanšu instrumentu atbalsts (digitalizācijas garantijas), 1.2.2.2 pasākuma izsniegto atbalstu vienam gala saņēmējam pārceļ uz 1.2.3.4. pasākumu. Ņemot vērā to, ka 1.2.3. SAM ietvaros jau tiek nodrošināts atbalsts garantijām FI veidā, attiecīgi digitalizācijas garantijām paredzētai finansējums 4.19 meur atmaksām tiek pārcelts uz 1.2.3.3. pasākumu, , 4 190 000 euro apmērā pārcelšana uz 1.2.3.3. pasākumu nemaina pasākumu finansējuma apmēru, bet tikai izsniedzamo garantiju apmēru.  Visas izmaiņas arī tiks atspoguļotas 2023. gada 5. septembra noteikumos Nr. 510 "Eiropas Savienības kohēzijas politikas programmas 2021.–2027. gadam finanšu instrumentu kopīgie īstenošanas noteikumi ".</w:t>
      </w:r>
      <w:r w:rsidR="00000000" w:rsidRPr="00000000" w:rsidDel="00000000">
        <w:rPr>
          <w:rtl w:val="0"/>
        </w:rPr>
        <w:t xml:space="preserve">Papildus ar 2025.gada 1. janvāri spēku zaudējusi NACE 2. redakcija, līdz ar to veikti attiecīgie precizējumu MK noteikumu projektā, lai norādītie NACE kodi un klasifikācijas būtu saskaņā ar aktuālo NACE 2.1. redakciju. Veikti precizējumi MK noteikumu projekta 16. punktā, aktualizējot minētās nozares un darbības atbilstoši NACE 2.1. redakcijai.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saimnieciskās darbības veicēji, Akciju sabiedrība “Attīstības finanšu institūcija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palielināta garantiju summa.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2023. gada 5. septembra noteikumos Nr. 510 "Eiropas Savienības kohēzijas politikas programmas 2021.–2027. gadam finanšu instrumentu kopīgie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 510 paralēli tiek veikti grozījumi precizējot attiecīgās normas, kas attiecas uz finanšu instrumentu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aktuālajām finansējuma pārdalēm, kas pieteiktas Darbības Programmas grozījumu Nr. 3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14.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apakšpunkts, 12.3. apakšpunkts, 16</w:t>
            </w:r>
            <w:r w:rsidR="00000000" w:rsidRPr="00000000" w:rsidDel="00000000">
              <w:rPr>
                <w:sz w:val="24"/>
                <w:vertAlign w:val="superscript"/>
                <w:rtl w:val="0"/>
              </w:rPr>
              <w:t xml:space="preserve">.2</w:t>
            </w:r>
            <w:r w:rsidR="00000000" w:rsidRPr="00000000" w:rsidDel="00000000">
              <w:rPr>
                <w:sz w:val="24"/>
                <w:rtl w:val="0"/>
              </w:rPr>
              <w:t xml:space="preserve"> punkts un tā apakšpunkti, 12</w:t>
            </w:r>
            <w:r w:rsidR="00000000" w:rsidRPr="00000000" w:rsidDel="00000000">
              <w:rPr>
                <w:sz w:val="24"/>
                <w:vertAlign w:val="superscript"/>
                <w:rtl w:val="0"/>
              </w:rPr>
              <w:t xml:space="preserve">1</w:t>
            </w:r>
            <w:r w:rsidR="00000000" w:rsidRPr="00000000" w:rsidDel="00000000">
              <w:rPr>
                <w:sz w:val="24"/>
                <w:rtl w:val="0"/>
              </w:rPr>
              <w:t xml:space="preserve">punkts un tā apakšpunkti, 12</w:t>
            </w:r>
            <w:r w:rsidR="00000000" w:rsidRPr="00000000" w:rsidDel="00000000">
              <w:rPr>
                <w:sz w:val="24"/>
                <w:vertAlign w:val="superscript"/>
                <w:rtl w:val="0"/>
              </w:rPr>
              <w:t xml:space="preserve">2</w:t>
            </w:r>
            <w:r w:rsidR="00000000" w:rsidRPr="00000000" w:rsidDel="00000000">
              <w:rPr>
                <w:sz w:val="24"/>
                <w:rtl w:val="0"/>
              </w:rPr>
              <w:t xml:space="preserve"> punkts un tā apakšpunkti, 14</w:t>
            </w:r>
            <w:r w:rsidR="00000000" w:rsidRPr="00000000" w:rsidDel="00000000">
              <w:rPr>
                <w:sz w:val="24"/>
                <w:vertAlign w:val="superscript"/>
                <w:rtl w:val="0"/>
              </w:rPr>
              <w:t xml:space="preserve">1</w:t>
            </w:r>
            <w:r w:rsidR="00000000" w:rsidRPr="00000000" w:rsidDel="00000000">
              <w:rPr>
                <w:sz w:val="24"/>
                <w:rtl w:val="0"/>
              </w:rPr>
              <w:t xml:space="preserve"> punkts, 30</w:t>
            </w:r>
            <w:r w:rsidR="00000000" w:rsidRPr="00000000" w:rsidDel="00000000">
              <w:rPr>
                <w:sz w:val="24"/>
                <w:vertAlign w:val="superscript"/>
                <w:rtl w:val="0"/>
              </w:rPr>
              <w:t xml:space="preserve">1</w:t>
            </w:r>
            <w:r w:rsidR="00000000" w:rsidRPr="00000000" w:rsidDel="00000000">
              <w:rPr>
                <w:sz w:val="24"/>
                <w:rtl w:val="0"/>
              </w:rPr>
              <w:t xml:space="preserve">. punkts un tā apakšpunkti, 31</w:t>
            </w:r>
            <w:r w:rsidR="00000000" w:rsidRPr="00000000" w:rsidDel="00000000">
              <w:rPr>
                <w:sz w:val="24"/>
                <w:vertAlign w:val="superscript"/>
                <w:rtl w:val="0"/>
              </w:rPr>
              <w:t xml:space="preserve">3</w:t>
            </w:r>
            <w:r w:rsidR="00000000" w:rsidRPr="00000000" w:rsidDel="00000000">
              <w:rPr>
                <w:sz w:val="24"/>
                <w:rtl w:val="0"/>
              </w:rPr>
              <w:t xml:space="preserve">. punkts, 31.</w:t>
            </w:r>
            <w:r w:rsidR="00000000" w:rsidRPr="00000000" w:rsidDel="00000000">
              <w:rPr>
                <w:sz w:val="24"/>
                <w:vertAlign w:val="superscript"/>
                <w:rtl w:val="0"/>
              </w:rPr>
              <w:t xml:space="preserve">4.</w:t>
            </w:r>
            <w:r w:rsidR="00000000" w:rsidRPr="00000000" w:rsidDel="00000000">
              <w:rPr>
                <w:sz w:val="24"/>
                <w:rtl w:val="0"/>
              </w:rPr>
              <w:t xml:space="preserve">punkts, 45.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 5</w:t>
            </w:r>
            <w:r w:rsidR="00000000" w:rsidRPr="00000000" w:rsidDel="00000000">
              <w:rPr>
                <w:sz w:val="24"/>
                <w:vertAlign w:val="superscript"/>
                <w:rtl w:val="0"/>
              </w:rPr>
              <w:t xml:space="preserve">1</w:t>
            </w:r>
            <w:r w:rsidR="00000000" w:rsidRPr="00000000" w:rsidDel="00000000">
              <w:rPr>
                <w:sz w:val="24"/>
                <w:rtl w:val="0"/>
              </w:rPr>
              <w:t xml:space="preserve">. punkts, 28.punkts, 20.</w:t>
            </w:r>
            <w:r w:rsidR="00000000" w:rsidRPr="00000000" w:rsidDel="00000000">
              <w:rPr>
                <w:sz w:val="24"/>
                <w:vertAlign w:val="superscript"/>
                <w:rtl w:val="0"/>
              </w:rPr>
              <w:t xml:space="preserve">1</w:t>
            </w:r>
            <w:r w:rsidR="00000000" w:rsidRPr="00000000" w:rsidDel="00000000">
              <w:rPr>
                <w:sz w:val="24"/>
                <w:rtl w:val="0"/>
              </w:rPr>
              <w:t xml:space="preserve">punkts,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5.panta “c”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 45.punkts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apakšpunkts, 16.</w:t>
            </w:r>
            <w:r w:rsidR="00000000" w:rsidRPr="00000000" w:rsidDel="00000000">
              <w:rPr>
                <w:sz w:val="24"/>
                <w:vertAlign w:val="superscript"/>
                <w:rtl w:val="0"/>
              </w:rPr>
              <w:t xml:space="preserve">2</w:t>
            </w:r>
            <w:r w:rsidR="00000000" w:rsidRPr="00000000" w:rsidDel="00000000">
              <w:rPr>
                <w:sz w:val="24"/>
                <w:rtl w:val="0"/>
              </w:rPr>
              <w:t xml:space="preserve">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2. panta 18. punkts, 29.punkts, 30.punkts, 49.punkts, 61a. apakšpunkts, 13.punkts , 43. punkts un 43a punkts, 45. punkts, 130.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r w:rsidR="00000000" w:rsidRPr="00000000" w:rsidDel="00000000">
              <w:rPr>
                <w:sz w:val="24"/>
                <w:vertAlign w:val="superscript"/>
                <w:rtl w:val="0"/>
              </w:rPr>
              <w:t xml:space="preserve">1</w:t>
            </w:r>
            <w:r w:rsidR="00000000" w:rsidRPr="00000000" w:rsidDel="00000000">
              <w:rPr>
                <w:sz w:val="24"/>
                <w:vertAlign w:val="subscript"/>
                <w:rtl w:val="0"/>
              </w:rPr>
              <w:t xml:space="preserve">. </w:t>
            </w:r>
            <w:r w:rsidR="00000000" w:rsidRPr="00000000" w:rsidDel="00000000">
              <w:rPr>
                <w:sz w:val="24"/>
                <w:rtl w:val="0"/>
              </w:rPr>
              <w:t xml:space="preserve">punkts, 12.</w:t>
            </w:r>
            <w:r w:rsidR="00000000" w:rsidRPr="00000000" w:rsidDel="00000000">
              <w:rPr>
                <w:sz w:val="24"/>
                <w:vertAlign w:val="subscript"/>
                <w:rtl w:val="0"/>
              </w:rPr>
              <w:t xml:space="preserve">1</w:t>
            </w:r>
            <w:r w:rsidR="00000000" w:rsidRPr="00000000" w:rsidDel="00000000">
              <w:rPr>
                <w:sz w:val="24"/>
                <w:rtl w:val="0"/>
              </w:rPr>
              <w:t xml:space="preserve">1 apakšpunkts, 12.</w:t>
            </w:r>
            <w:r w:rsidR="00000000" w:rsidRPr="00000000" w:rsidDel="00000000">
              <w:rPr>
                <w:sz w:val="24"/>
                <w:vertAlign w:val="superscript"/>
                <w:rtl w:val="0"/>
              </w:rPr>
              <w:t xml:space="preserve">1</w:t>
            </w:r>
            <w:r w:rsidR="00000000" w:rsidRPr="00000000" w:rsidDel="00000000">
              <w:rPr>
                <w:sz w:val="24"/>
                <w:rtl w:val="0"/>
              </w:rPr>
              <w:t xml:space="preserve">8. apakšpunkts, 12.</w:t>
            </w:r>
            <w:r w:rsidR="00000000" w:rsidRPr="00000000" w:rsidDel="00000000">
              <w:rPr>
                <w:sz w:val="24"/>
                <w:vertAlign w:val="superscript"/>
                <w:rtl w:val="0"/>
              </w:rPr>
              <w:t xml:space="preserve">1</w:t>
            </w:r>
            <w:r w:rsidR="00000000" w:rsidRPr="00000000" w:rsidDel="00000000">
              <w:rPr>
                <w:sz w:val="24"/>
                <w:rtl w:val="0"/>
              </w:rPr>
              <w:t xml:space="preserve">9. apakšpunkts, 16.</w:t>
            </w:r>
            <w:r w:rsidR="00000000" w:rsidRPr="00000000" w:rsidDel="00000000">
              <w:rPr>
                <w:sz w:val="24"/>
                <w:vertAlign w:val="superscript"/>
                <w:rtl w:val="0"/>
              </w:rPr>
              <w:t xml:space="preserve">2</w:t>
            </w:r>
            <w:r w:rsidR="00000000" w:rsidRPr="00000000" w:rsidDel="00000000">
              <w:rPr>
                <w:sz w:val="24"/>
                <w:rtl w:val="0"/>
              </w:rPr>
              <w:t xml:space="preserve">3.1.apakšpunkts, 16.</w:t>
            </w:r>
            <w:r w:rsidR="00000000" w:rsidRPr="00000000" w:rsidDel="00000000">
              <w:rPr>
                <w:sz w:val="24"/>
                <w:vertAlign w:val="superscript"/>
                <w:rtl w:val="0"/>
              </w:rPr>
              <w:t xml:space="preserve">2</w:t>
            </w:r>
            <w:r w:rsidR="00000000" w:rsidRPr="00000000" w:rsidDel="00000000">
              <w:rPr>
                <w:sz w:val="24"/>
                <w:rtl w:val="0"/>
              </w:rPr>
              <w:t xml:space="preserve">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 panta 1.punkts,  2. punkts,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r w:rsidR="00000000" w:rsidRPr="00000000" w:rsidDel="00000000">
              <w:rPr>
                <w:sz w:val="24"/>
                <w:vertAlign w:val="superscript"/>
                <w:rtl w:val="0"/>
              </w:rPr>
              <w:t xml:space="preserve">2</w:t>
            </w:r>
            <w:r w:rsidR="00000000" w:rsidRPr="00000000" w:rsidDel="00000000">
              <w:rPr>
                <w:sz w:val="24"/>
                <w:rtl w:val="0"/>
              </w:rPr>
              <w:t xml:space="preserve">1. apakšpunkts, 31.</w:t>
            </w:r>
            <w:r w:rsidR="00000000" w:rsidRPr="00000000" w:rsidDel="00000000">
              <w:rPr>
                <w:sz w:val="24"/>
                <w:vertAlign w:val="superscript"/>
                <w:rtl w:val="0"/>
              </w:rPr>
              <w:t xml:space="preserve">2</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13. panta "a", "b"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r w:rsidR="00000000" w:rsidRPr="00000000" w:rsidDel="00000000">
              <w:rPr>
                <w:sz w:val="24"/>
                <w:vertAlign w:val="superscript"/>
                <w:rtl w:val="0"/>
              </w:rPr>
              <w:t xml:space="preserve">2</w:t>
            </w:r>
            <w:r w:rsidR="00000000" w:rsidRPr="00000000" w:rsidDel="00000000">
              <w:rPr>
                <w:sz w:val="24"/>
                <w:rtl w:val="0"/>
              </w:rPr>
              <w:t xml:space="preserve">3.1. apakšpunkts, 16.</w:t>
            </w:r>
            <w:r w:rsidR="00000000" w:rsidRPr="00000000" w:rsidDel="00000000">
              <w:rPr>
                <w:sz w:val="24"/>
                <w:vertAlign w:val="superscript"/>
                <w:rtl w:val="0"/>
              </w:rPr>
              <w:t xml:space="preserve">2</w:t>
            </w:r>
            <w:r w:rsidR="00000000" w:rsidRPr="00000000" w:rsidDel="00000000">
              <w:rPr>
                <w:sz w:val="24"/>
                <w:rtl w:val="0"/>
              </w:rPr>
              <w:t xml:space="preserve">3.2.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6.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r w:rsidR="00000000" w:rsidRPr="00000000" w:rsidDel="00000000">
              <w:rPr>
                <w:sz w:val="24"/>
                <w:vertAlign w:val="superscript"/>
                <w:rtl w:val="0"/>
              </w:rPr>
              <w:t xml:space="preserve">1</w:t>
            </w:r>
            <w:r w:rsidR="00000000" w:rsidRPr="00000000" w:rsidDel="00000000">
              <w:rPr>
                <w:sz w:val="24"/>
                <w:rtl w:val="0"/>
              </w:rPr>
              <w:t xml:space="preserve">5. apkšpunkts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9.pants 1., punkts,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r w:rsidR="00000000" w:rsidRPr="00000000" w:rsidDel="00000000">
              <w:rPr>
                <w:sz w:val="24"/>
                <w:vertAlign w:val="superscript"/>
                <w:rtl w:val="0"/>
              </w:rPr>
              <w:t xml:space="preserve">4</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59.pants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20 darba dienu laikā pēc noteikumu grozījumu stāšanās spēkā iesniegs Eiropas Komisijā kopsavilkuma informāciju par programmu, izmantojot SANI2 sistēmu.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kad noslēgsies.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publicēti, kad sabiedrības līdzdalība noslēgsies.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25-TA-400</w:t>
    </w:r>
    <w:r>
      <w:br/>
    </w:r>
    <w:r w:rsidR="00000000" w:rsidRPr="00000000" w:rsidDel="00000000">
      <w:rPr>
        <w:rtl w:val="0"/>
      </w:rPr>
      <w:t xml:space="preserve">Izdrukāts 29.07.2026. 23.55 - 5.0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25-TA-400</w:t>
    </w:r>
    <w:r>
      <w:br/>
    </w:r>
    <w:r w:rsidR="00000000" w:rsidRPr="00000000" w:rsidDel="00000000">
      <w:rPr>
        <w:rtl w:val="0"/>
      </w:rPr>
      <w:t xml:space="preserve">Izdrukāts 29.07.2026. 23.55 - 5.0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anotācija_(ex_ante)_25-TA-400.docx</dc:title>
</cp:coreProperties>
</file>

<file path=docProps/custom.xml><?xml version="1.0" encoding="utf-8"?>
<Properties xmlns="http://schemas.openxmlformats.org/officeDocument/2006/custom-properties" xmlns:vt="http://schemas.openxmlformats.org/officeDocument/2006/docPropsVTypes"/>
</file>