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 (turpmāk – MK noteikumi Nr. 460).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termiņu līdz kuram tiek pieņemti lēmumi par atbalsta piešķiršanu saskaņā ar Eiropas Komisijas 2013.gada 18.decembra Regulu (ES) Nr. 1407/2013 par Līguma par Eiropas Savienības darbību 107. un 108. panta piemērošanu de minimis atbalstam  (turpmāk - regula Nr. 1407/2013).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“Attīstības finanšu institūcijas Altum” (turpmāk – Altum) no 2022. gada 8. decembra nodrošina atbalsta programmas īstenošanu saskaņā ar MK noteikumiem Nr. 460, kuras ietvaros Altum sniedz aizdevumu, garantijas, kapitāla atlaidi aizdevuma pamatsummas daļējai dzēšanai un tehniskās dokumentācijas izstrādei daudzdzīvokļu māju energoefektivitātes uzlabošanai un pārejai uz atjaunojamo energoresursu tehnoloģiju izmantošanu (turpmāk – DME programma).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DME programmas ietvaros Altum ir rezervējusi 14% no kopējā pieejamā programmas finansējuma, kas ir 57.2 milj. </w:t>
      </w:r>
      <w:r w:rsidR="00000000" w:rsidRPr="00000000" w:rsidDel="00000000">
        <w:rPr>
          <w:i w:val="1"/>
          <w:rtl w:val="0"/>
        </w:rPr>
        <w:t xml:space="preserve">euro. </w:t>
      </w:r>
      <w:r w:rsidR="00000000" w:rsidRPr="00000000" w:rsidDel="00000000">
        <w:rPr>
          <w:rtl w:val="0"/>
        </w:rPr>
        <w:t xml:space="preserve">Uz 2023. gada novembra sākumu ir apstiprināts 21 projekts par 7.9 milj. </w:t>
      </w:r>
      <w:r w:rsidR="00000000" w:rsidRPr="00000000" w:rsidDel="00000000">
        <w:rPr>
          <w:i w:val="1"/>
          <w:rtl w:val="0"/>
        </w:rPr>
        <w:t xml:space="preserve">euro </w:t>
      </w:r>
      <w:r w:rsidR="00000000" w:rsidRPr="00000000" w:rsidDel="00000000">
        <w:rPr>
          <w:rtl w:val="0"/>
        </w:rPr>
        <w:t xml:space="preserve">daudzdzīvokļu māju energoefektivitātes uzlabošanai un pārejai uz atjaunojamo energoresursu tehnoloģiju izmantošanu</w:t>
      </w:r>
      <w:r w:rsidR="00000000" w:rsidRPr="00000000" w:rsidDel="00000000">
        <w:rPr>
          <w:i w:val="1"/>
          <w:rtl w:val="0"/>
        </w:rPr>
        <w:t xml:space="preserve">.</w:t>
      </w:r>
      <w:r w:rsidR="00000000" w:rsidRPr="00000000" w:rsidDel="00000000">
        <w:rPr>
          <w:rtl w:val="0"/>
        </w:rPr>
        <w:t xml:space="preserve"> Vērtēšanā ir vēl 11 projekti par 3.4 milj.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DME programma tiek īstenota Eiropas Savienības Atveseļošanas un noturības mehānisma ietvarā. Kopā pieejamais programmas finansējums ir 57,2 miljoni </w:t>
      </w:r>
      <w:r w:rsidR="00000000" w:rsidRPr="00000000" w:rsidDel="00000000">
        <w:rPr>
          <w:i w:val="1"/>
          <w:rtl w:val="0"/>
        </w:rPr>
        <w:t xml:space="preserve">euro</w:t>
      </w:r>
      <w:r w:rsidR="00000000" w:rsidRPr="00000000" w:rsidDel="00000000">
        <w:rPr>
          <w:rtl w:val="0"/>
        </w:rPr>
        <w:t xml:space="preserve">. Šobrīd programmā ir brīvi un pieejami 86 % no kopā pieejamā finansējuma. Lai novērstu risku, ka 2024. gadā netiks uzsākti un īstenoti plānotie DME projekti, ir nepieciešams veikt grozījumus MK noteikumu Nr. 460 15. un 89. punktā, kuri nosaka DME programmas darbības termiņu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būtība ir noteikt, ka saskaņā ar regulas Nr. 1407/2013 7. panta 4. punkta un 8. panta nosacījumiem tā ir piemērojama vēl sešus mēnešus pēc 2023. gada 31. decembra, kas dod iespēju Altum pieņemt lēmumu par atbalsta piešķiršanu DME programmas ietvaros vēl līdz 2024.gada 30.jūnijam.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grozījumi attiecas uz jauniem projektiem, bet grozījumi neietekmē jau pieņemtos lēmumus par atbalsta piešķiršanu un noslēgtos līgumus.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MK noteikumos Nr. 460 un precizēt termiņu, līdz kuram Altum var pieņemt lēmumu par aizdevuma piešķiršanu DME programmas ietvaros. Ņemot vērā, ka daļai atbalsta saņēmēju atbalsts DME programmā tiek piešķirts kā </w:t>
      </w:r>
      <w:r w:rsidR="00000000" w:rsidRPr="00000000" w:rsidDel="00000000">
        <w:rPr>
          <w:i w:val="1"/>
          <w:rtl w:val="0"/>
        </w:rPr>
        <w:t xml:space="preserve">de minimis</w:t>
      </w:r>
      <w:r w:rsidR="00000000" w:rsidRPr="00000000" w:rsidDel="00000000">
        <w:rPr>
          <w:rtl w:val="0"/>
        </w:rPr>
        <w:t xml:space="preserve"> atbalsts, termiņš noteikts saskaņā ar regulas Nr. 1407/2013 nosacījumiem - minētā regula ir piemērojama vēl sešus mēnešus pēc 2023. gada 31. decembra.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būtu negrozīt MK noteikumus Nr.460, bet tad būtu jāpārtrauc DME programmas darbība pēc 2023.gada 31.decembra.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labvēlīgāks daudzdzīvokļu māju energoefektivitātes projektu īstenotājiem un mājsaimniecībām, jo tiek turpināta atbalsta DME programmas īstenošana pēc 2023. gada 31. decembra.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labvēlīgāks daudzdzīvokļu māju energoefektivitātes projektu īstenotājiem (juridiskām personām) un mājsaimniecībām (fiziskām personām), jo tiek turpināta DME programmas īstenošana pēc 2023. gada 31. decembra. Ņemot vērā to, ka DME programmas finansējums ir 57.2 milj. euro un uz 2023.gada novembra sākumu ir apstiprināts 21 daudzdzīvokļu māju energoefektivitātes projekts par 7.9 milj. euro, tad turpinot atbalsta programmas īstenošanu pozitīvais efekts būtu 49.3 milj.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labvēlīgāks daudzdzīvokļu māju energoefektivitātes projektu īstenotājiem (juridiskām personām) un mājsaimniecībām (fiziskām personām), jo tiek turpināta DME programmas īstenošana pēc 2023. gada 31. decembra. Ņemot vērā to, ka DME programmas finansējums ir 57.2 milj. euro un uz 2023.gada novembra sākumu ir apstiprināts 21 daudzdzīvokļu māju energoefektivitātes projekts par 7.9 milj. euro, tad turpinot atbalsta programmas īstenošanu pozitīvais efekts būtu 49.3 milj. euro. Tiesību akta projekts nodrošinās iespēju pilnvarotām personām, būvkomersantiem un namīpašniekiem nodrošināt efektīvāku projektu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DME programmas finansējums ir 57.2 milj. euro un uz 2023.gada novembra sākumu ir apstiprināts 21 daudzdzīvokļu māju energoefektivitātes projekts par 7.9 milj. euro, tad turpinot atbalsta programmas īstenošanu pozitīvais efekts būtu 49.3 milj. euro. Tiesību akta projekts nodrošinās iespēju pilnvarotām personām pieteikties atbalstam, kas ir paredzēts tieši būvniecības izmaksu segšanai, kā rezultātā tiks celts būvniecības nozares uzņēmumu apgrozījums.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veiktajos būvdarbos daudzdzīvokļu mājās finansējuma saņēmējs varētu piesaistīt arī vietējos mazos un vidējos uzņēmumus. Tiks nodrošināts vietējo būvmateriālu pieprasījums.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projekta īstenošanas rezultātā konkrētās daudzdzīvokļu dzīvojamās mājas dzīvokļu īpašniekiem tiks nodrošināta energoefektivitātes paaugstināšana dzīvoajmās ēkās, kas sekmēs to iespējas uz nodarbinātību.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Pasākums radīs pozitīvu ietekmi arī uz būvniecības nozarē strādājošajiem, ņemot vērā pasākumam plānoto kopējo finansējumu, turklāt lielākā daļa no finansējuma aizdevuma veidā ir paredzēta tieši būvniecības izmaksu segšanai.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2013.gada 18.decembra Regula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2013.gada 18.decembra Regula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7. panta 4.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 punktam sabiedrības līdzdalības kārtība ir piemērojama tiesību aktu projektu izstrādē, kas būtiski maina esošo regulējumu vai paredz ieviest jaunas politiskās iniciatīvas. Ņemot vērā, ka noteikumu projekts nemaina esošo regulējumu un neparedz ieviest jaunas politiskās iniciatīvas,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sekmēta viena no Nacionālā attīstības plāna mērķu izpildēm: esošais dzīvojamais fonds līdz 2050. gadam atbilstu augstiem energoefektivitātes, būvniecības, drošības un labiekārtotības standartiem.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sasniedzams: sasniedzamais siltumnīcefekta gāzu emisiju samazinājums, kas ir noteiktais kā nacionālais rādītājs, ir 1358 t CO2 ekv.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23-TA-2923</w:t>
    </w:r>
    <w:r>
      <w:br/>
    </w:r>
    <w:r w:rsidR="00000000" w:rsidRPr="00000000" w:rsidDel="00000000">
      <w:rPr>
        <w:rtl w:val="0"/>
      </w:rPr>
      <w:t xml:space="preserve">Izdrukāts 29.07.2026. 23.23 - 2.0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23-TA-2923</w:t>
    </w:r>
    <w:r>
      <w:br/>
    </w:r>
    <w:r w:rsidR="00000000" w:rsidRPr="00000000" w:rsidDel="00000000">
      <w:rPr>
        <w:rtl w:val="0"/>
      </w:rPr>
      <w:t xml:space="preserve">Izdrukāts 29.07.2026. 23.23 - 2.0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anotācija_(ex_ante)_23-TA-2923.docx</dc:title>
</cp:coreProperties>
</file>

<file path=docProps/custom.xml><?xml version="1.0" encoding="utf-8"?>
<Properties xmlns="http://schemas.openxmlformats.org/officeDocument/2006/custom-properties" xmlns:vt="http://schemas.openxmlformats.org/officeDocument/2006/docPropsVTypes"/>
</file>