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Finanšu instrumentu tirgus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Finanšu instrumentu tirgus likumā” (turpmāk - likumprojekts) izstrādāts, lai Finanšu instrumentu tirgus likumā (turpmāk -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transponētu Eiropas Parlamenta un Padomes 2023. gada 13. decembra direktīvas (ES) 2023/2864, ar ko attiecībā uz Eiropas vienotā piekļuves punkta izveidi un darbību groza konkrētas direktīvas (turpmāk – Direktīva Nr. 2023/2864),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Direktīvu Nr. 2023/2864, tostarp tiek grozīta Eiropas Parlamenta un Padomes 2007. gada 11. jūlija direktīva 2007/36/EK par biržu sarakstos iekļautu sabiedrību akcionāru konkrētu tiesību izmantošanu (turpmāk – Direktīva Nr. 2007/36), iekļaujot tajā jaunu 14.c pantu “Informācijas pieejamība Eiropas vienotajā piekļuves punktā” un Eiropas Parlamenta un Padomes 2014. gada 15. maija direktīva 2014/65/ES par finanšu instrumentu tirgiem un ar ko groza Direktīvu 2002/92/ES un Direktīvu 2011/61/ES (turpmāk – Direktīva Nr. 2014/65), iekļaujot tajā jaunu 87.a pantu “Informācijas pieejamība Eiropas vienotajā piekļuves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2007/36 14.c pantā un Direktīvas Nr. 2014/65 87.a pantā noteiktās prasības par informācijas nodošanu Eiropas vienotajam piekļuves punktam (European single access point) (turpmāk – ESAP), kas tiks izveidots saskaņā ar Eiropas Parlamenta un Padomes 2023. gada 13. decembra regulu (ES) 2023/2859, ar ko izveido Eiropas vienoto piekļuves punktu, kurš nodrošina centralizētu piekļuvi publiski pieejamai informācijai saistībā ar finanšu pakalpojumiem, kapitāla tirgiem un ilgtspēju (turpmāk – Regula Nr. 2023/2859), attiecas uz tikai Finanšu instrumentu tirgus likuma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precizētu finanšu instrumentu tirgus darbības regulējumu, kas attiecas uz prospektu apstiprināšanu Latvijas Bankā.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nodrošināt, lai ESAP tiktu nodota informāciju par atalgojuma poltiku, netipiskiem darījumiem, pilnvarotā padomdevēja darbībām, iesaistīšanas politiku, ieguldījumu stratēģijas, rīkojuma izpildes vietu un izpildes politiku, pietiekamas informācijas publiskošanu, finanšu ziņojumiem, emitentu regulējumu, tirgus operatora īpašniekiem, finanšu instrumenta tirdzniecības pārtraukšanu, par sankcijām un administratīvajiem pasākumiem un, lai pilnveidotu finanšu instrumentu tirgus darbības regulējumu attiecībā uz prospektu apstiprināšanu.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2023/2864 17. pantā “Transponēšana” noteikts, ka dalībvalstis līdz 2026.gada 10.janvārim pieņem un publicē normatīvos aktus, kas vajadzīgi, lai izpildītu šīs direktīvas prasības. Līdz ar to nekavējoties ir nepieciešams transponēt Likumā minēto Eiropas Savienības tiesību aktu, lai novērstu tādu valstij nelabvēlīgu seku iestāšanos, kas skar būtiskas valsts starptautiskās un finanšu intereses, ja Direktīva Nr. 2023/2864 netiek transponēta minētajā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finanšu tirgus dalībnieku uzraudzību, ir konstatētas atsevišķas nepilnības finanšu instrumentu tirgus darbības regulējumā, kas attiecas uz prospektu apstiprināšanu Latvijas Bankā, līdz ar to nepieciešams veikt grozījumus Finanšu instrumentu tirgus likumā.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 panta pirmās daļas 13. punktā noteikta termina “prospekts” definīcija, nosakot, ka prospekts ir dokuments, kurā ietverta detalizēta informācija par emitentu un tā emitētiem pārvedamiem vērtspapīriem, par kuriem publiskā piedāvājuma izteicējs vēlas izteikt publisko piedāvājumu vai kurus persona, kas lūdz pārvedamu vērtspapīru iekļaušanu regulētajā tirgū, vēlas iekļaut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 panta pirmās daļas 39. punktā noteikts, ka kompetentā institūcija ir institūcija, kurai dalībvalsts deleģējusi funkciju uzraudzīt prospektu sagatavošanas, reģistrēšanas un izplatīšanas kārtību un kura veic pienākumus, kas saistīti ar starptautisko sadarbību ar citu dalībvalstu kompetentajām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 panta 1.</w:t>
      </w:r>
      <w:r w:rsidR="00000000" w:rsidRPr="00000000" w:rsidDel="00000000">
        <w:rPr>
          <w:vertAlign w:val="superscript"/>
          <w:rtl w:val="0"/>
        </w:rPr>
        <w:t xml:space="preserve">1</w:t>
      </w:r>
      <w:r w:rsidR="00000000" w:rsidRPr="00000000" w:rsidDel="00000000">
        <w:rPr>
          <w:rtl w:val="0"/>
        </w:rPr>
        <w:t xml:space="preserve"> daļas 1. punktā ir noteikts, ka Latvijas Banka uzskatāma par kompetento iestādi Latvijā tieši piemērojamā Eiropas Savienības tiesību akta - Komisijas 2003. gada 22. decembra regula (EK) Nr. 2273/2003, ar ko Eiropas Parlamenta un Padomes direktīvu 2003/6/EK īsteno attiecībā uz atbrīvojumiem saistībā ar atpirkšanas programmām un finanšu instrumentu stabilizāciju (turpmāk — Eiropas Komisijas regula Nr. 2273/2003),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12. panta pirmajā un otrajā daļā noteikts, ka regulētā tirgus organizētājs nekavējoties, tiklīdz tas kļuvis zināms, rakstveidā paziņo Latvijas Bankai par ikvienas personas būtiskas līdzdalības iegūšanu, palielināšanu vai samazināšanu un līdz katra gada 31.janvārim iesniedz Latvijas Bankai to akcionāru (dalībnieku) sarakstu, kuriem iepriekšējā gada 31.decembrī ir bijusi būtiska līdzdalība attiecīgajā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14. panta nosaukums ir “Atļauja izteikt publisko piedāvājumu”; panta otrajā daļā noteikts emitenta vai publiskā piedāvājuma izteicēja pienākums, lai saņemtu atļauju izteikt publisko piedāvājumu, iesniegt Latvijas Bankai piedāvājumu, kuram pievienoti 1. un 2. punktā uzskaitītie dokumenti; panta trešajā daļā ir uzskaitīta iesniegumā norādāmā informācija; septītajā daļā noteiktas Latvijas Bankas tiesības pieņemt lēmumu par atļaujas atteikumu; astotajā daļā noteikts, kam tiek izsniegts Latvijas Bankas lēmums par atļaujas atteikumu; trīspadsmitajā daļā noteikts, ka Latvijas Banka reģistrē pamatprospektu, ievērojot šajā pantā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41. pants regulē Vispārīgās prasības finanšu instrumentu iekļaušanai regulētajos tirgos, nosakot - lai pārvedamus vērtspapīrus iekļautu regulētajā tirgū, emitentam vai personai, kas lūdz pārvedamu vērtspapīru iekļaušanu regulētajā tirgū, iesniegumam jāpievieno prospektu, kas sagatavots atbilstoši šā likuma, Regulas Nr. 2017/1129 un citu tieši piemērojamo Eiropas Savienības tiesību aktu par prospektu saturu prasībām, kā arī reģistrēts Latvijas Bankā.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44.</w:t>
      </w:r>
      <w:r w:rsidR="00000000" w:rsidRPr="00000000" w:rsidDel="00000000">
        <w:rPr>
          <w:vertAlign w:val="superscript"/>
          <w:rtl w:val="0"/>
        </w:rPr>
        <w:t xml:space="preserve">1</w:t>
      </w:r>
      <w:r w:rsidR="00000000" w:rsidRPr="00000000" w:rsidDel="00000000">
        <w:rPr>
          <w:rtl w:val="0"/>
        </w:rPr>
        <w:t xml:space="preserve"> panta otrajā daļā noteikts, ka Pamatprospektu reģistrē Latvijas Bankā saskaņā ar šā likuma 48. 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48. panta nosaukums ir “Prospekta reģistrācija”; panta pirmajā daļā noteikts, ka prospektu reģistrē Latvijas Banka, un lai reģistrētu prospektu, emitentam vai personai, kas lūdz pārvedamu vērtspapīru iekļaušanu regulētajā tirgū, jāiesniedz Latvijas Bankai iesniegums ar šajā daļā uzskaitītajiem dokumentiem, savukārt šā panta otrā daļa nosaka iesniegumā norādāmās informācijas apjomu; panta sestajā daļā noteikts, ka lēmumu par prospekta reģistrāciju vai par reģistrācijas atteikumu izsniedz emitentam vai personai, kas lūdz pārvedamu vērtspapīru iekļaušanu regulētajā tirgū un ir iesniegusi Latvijas Bankai iesniegumu par prospekta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50. pantā noteikts, ka emitentam vai personai, kas lūdz pārvedamu vērtspapīru iekļaušanu regulētajā tirgū, ir jāiesniedz attiecīgā regulētā tirgus organizētājam iesniegumu par finanšu instrumentu iekļaušanu regulētajā tirgū ne vēlāk kā trīs mēnešus pēc prospekta reģistrācijas Latvijas Bankā; panta trešajā daļā noteikts, ka lēmumu par dalībvalstī reģistrēta emitenta pārvedamu vērtspapīru iekļaušanu regulētajā tirgū regulētā tirgus organizētājs pieņem tikai pēc tam, kad prospekts reģistrēts Latvijas Bankā vai regulētā tirgus organizētājs saņēmis attiecīgās dalībvalsts uzraudzības institūcijas vai regulētā tirgus organizētāja apliecinājumu par prospekta reģistrāciju; panta piektās daļas 1. punktā noteikts, ka lēmumā par finanšu instrumentu (izņemot ieguldījumu fondu vai alternatīvo ieguldījumu fondu ieguldījumu apliecības) iekļaušanu regulētajā tirgū regulētā tirgus organizētājs norāda datumu, kurā prospekts reģistrēts Latvijas Bankā (ja saskaņā ar likumu emitentam vai personai, kas lūdz pārvedamu vērtspapīru iekļaušanu regulētajā tirgū, ir pienākums sagatavot prospektu); panta septītajā daļā noteikts, ka lēmumā par citā dalībvalstī reģistrēta emitenta pārvedamu vērtspapīru iekļaušanu regulētajā tirgū papildus norāda tās atbildīgās institūcijas vai regulētā tirgus organizētāja firmu, juridisko adresi, tālruņa numuru un mājas lapas adresi internetā, kurš pieņēmis lēmumu par prospekta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55. panta piektā daļa nosaka, ka lēmumu par finanšu instrumenta un kādu ar to saistīto atvasināto instrumentu tirdzniecības apturēšanu vai izslēgšanu no regulētā tirgus tā organizētājs nekavējoties publisko un informē Latvijas Banku par šāda lēmuma pieņemšanu.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55.</w:t>
      </w:r>
      <w:r w:rsidR="00000000" w:rsidRPr="00000000" w:rsidDel="00000000">
        <w:rPr>
          <w:vertAlign w:val="superscript"/>
          <w:rtl w:val="0"/>
        </w:rPr>
        <w:t xml:space="preserve">11</w:t>
      </w:r>
      <w:r w:rsidR="00000000" w:rsidRPr="00000000" w:rsidDel="00000000">
        <w:rPr>
          <w:rtl w:val="0"/>
        </w:rPr>
        <w:t xml:space="preserve"> panta ceturtās daļas 2. punkta pirmajā teikumā ir atsauce uz Eiropas Komisijas regulas Nr. 809/2004 2. panta 5. punku.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59.</w:t>
      </w:r>
      <w:r w:rsidR="00000000" w:rsidRPr="00000000" w:rsidDel="00000000">
        <w:rPr>
          <w:vertAlign w:val="superscript"/>
          <w:rtl w:val="0"/>
        </w:rPr>
        <w:t xml:space="preserve">3</w:t>
      </w:r>
      <w:r w:rsidR="00000000" w:rsidRPr="00000000" w:rsidDel="00000000">
        <w:rPr>
          <w:rtl w:val="0"/>
        </w:rPr>
        <w:t xml:space="preserve"> panta ceturtā daļa paredz, ka kapitālsabiedrība nodrošina, ka akcionāru sapulces apstiprinātā atalgojuma politika kopā ar akcionāru sapulces balsojuma datumu un balsojuma rezultātiem pēc akcionāru sapulces nekavējoties tiek publicēta kapitālsabiedrības mājaslapā internetā, kur tā bez maksas ir publiski pieejama vismaz tik ilgi, kamēr ir piemērojama un kāda informācija jāietver balsojuma rezultātos.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59.</w:t>
      </w:r>
      <w:r w:rsidR="00000000" w:rsidRPr="00000000" w:rsidDel="00000000">
        <w:rPr>
          <w:vertAlign w:val="superscript"/>
          <w:rtl w:val="0"/>
        </w:rPr>
        <w:t xml:space="preserve">4</w:t>
      </w:r>
      <w:r w:rsidR="00000000" w:rsidRPr="00000000" w:rsidDel="00000000">
        <w:rPr>
          <w:rtl w:val="0"/>
        </w:rPr>
        <w:t xml:space="preserve"> panta sestā daļa nosaka, ka kapitālsabiedrība nodrošina, ka atalgojuma ziņojums pēc akcionāru sapulces nekavējoties tiek publicēts kapitālsabiedrības mājaslapā internetā, kur tas bez maksas ir publiski pieejams 10 gadus no publicēšanas dienas un tā var darīt to pieejamu ilgāk, ja tā izslēdz no šā ziņojuma fizisko personu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59.</w:t>
      </w:r>
      <w:r w:rsidR="00000000" w:rsidRPr="00000000" w:rsidDel="00000000">
        <w:rPr>
          <w:vertAlign w:val="superscript"/>
          <w:rtl w:val="0"/>
        </w:rPr>
        <w:t xml:space="preserve">11</w:t>
      </w:r>
      <w:r w:rsidR="00000000" w:rsidRPr="00000000" w:rsidDel="00000000">
        <w:rPr>
          <w:rtl w:val="0"/>
        </w:rPr>
        <w:t xml:space="preserve"> panta piektā daļa paredz, ka pilnvarotais padomdevējs nodrošina informāciju par veiktajām izpētēm, sniegtajiem padomiem un ieteikumiem attiecībā uz balsstiesību izmantošanu publisku bezmaksas pieejamību savā mājaslapā internetā ne mazāk kā trīs gadus no informācijas publicēšanas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62. panta astotajā daļā ir atsauce uz Eiropas Komisijas regulas Nr. 2273/2003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126.</w:t>
      </w:r>
      <w:r w:rsidR="00000000" w:rsidRPr="00000000" w:rsidDel="00000000">
        <w:rPr>
          <w:vertAlign w:val="superscript"/>
          <w:rtl w:val="0"/>
        </w:rPr>
        <w:t xml:space="preserve">3</w:t>
      </w:r>
      <w:r w:rsidR="00000000" w:rsidRPr="00000000" w:rsidDel="00000000">
        <w:rPr>
          <w:rtl w:val="0"/>
        </w:rPr>
        <w:t xml:space="preserve"> pirmā daļa nosaka, ka ja ieguldījumu brokeru sabiedrība un kredītiestāde ir tiesīga sniegt portfeļa pārvaldības pakalpojumu, portfelī ietverot tādas akciju sabiedrības akcijas, kuras juridiskā adrese ir dalībvalstī un kuras akcijas ir iekļautas dalībvalsts regulētajā tirgū, ieguldījumu brokeru sabiedrība un kredītiestāde izstrādā politiku (iesaistīšanās politiku), kurā apraksta un skaidro, kā ieguldījumu brokeru sabiedrības un kredītiestādes stratēģijā tiek iekļauta akcionāra tiesību izmantošana šādas akciju sabiedrības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128. panta septītā daļā noteikts, ka ieguldījumu brokeru sabiedrība un kredītiestāde klientam vai iespējamam klientam laikus atklāj šādu informāciju par ieguldījumu brokeru sabiedrību vai kredītiestādi un tās pakalpojumiem, finanšu instrumentiem un piedāvātajām ieguldījumu stratēģijām, rīkojumu izpildes vietām un visām izmaksām un izdevumiem, izņemot tādus, kuri ir radušies no finanšu instrumenta pamatā esošā tirgus riska gadījuma iestāšanās, ieguldījumu brokeru sabiedrība un kredītiestāde sniedz apkopotā veidā, lai klienti varētu saprast kopējās izmaksas un kumulatīvo ietekmi uz ieguldījumu ienesīgumu. Papildus šā panta divpadsmitajā daļā minētās maksas vai labuma esība, veids un apjoms vai — gadījumā, ja par apjomu nav iespējams pārliecināties, — šā apjoma aprēķināšanas metode, ir nepārprotami jādara zināmi klientam tā, lai šī informācija būtu visaptveroša, precīza un saprotama, pirms tiek sniegti attiecīgie ieguldījumu pakalpojumi vai ieguldījumu blakuspakalpojumi.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133.</w:t>
      </w:r>
      <w:r w:rsidR="00000000" w:rsidRPr="00000000" w:rsidDel="00000000">
        <w:rPr>
          <w:vertAlign w:val="superscript"/>
          <w:rtl w:val="0"/>
        </w:rPr>
        <w:t xml:space="preserve">8</w:t>
      </w:r>
      <w:r w:rsidR="00000000" w:rsidRPr="00000000" w:rsidDel="00000000">
        <w:rPr>
          <w:rtl w:val="0"/>
        </w:rPr>
        <w:t xml:space="preserve"> panta otrajā daļā, noteikt, ka daudzpusējās tirdzniecības (DT) sistēmas vai organizētā tirdzniecības (OT) sistēmas organizētājs, kas aptur finanšu instrumenta tirdzniecību vai izslēdz finanšu instrumentu no DT sistēmas vai OT sistēmas, aptur vai izslēdz arī šā likuma 3. panta otrās daļas 4., 5., 6., 7., 8., 9. un 10. punktā minēto atvasināto instrumentu, kurš ir saistīts ar attiecīgo finanšu instrumentu vai atsaucas uz to, ja tas nepieciešams, lai atbalstītu minētā finanšu instrumenta apturēšanas vai izslēgšanas mērķu sasniegšanu. DT sistēmas vai OT sistēmas organizētājs lēmumu par finanšu instrumenta un jebkādu ar to saistīto atvasināto instrumentu tirdzniecības apturēšanu vai izslēgšanu no DT sistēmas vai OT sistēmas publisko un informē Latvijas Banku par šāda lēmuma pieņemšanu. Latvijas Banka pieprasa finanšu instrumentu tirdzniecības apturēšanu vai izslēgšanu no tirdzniecības vietas arī no citiem regulētajiem tirgiem, DT sistēmām, OT sistēmām un sistemātiskajiem internalizētājiem Latvijas Republikā, kur tiek tirgoti tie paši finanšu instrumenti un šā likuma 3. panta otrās daļas 4., 5., 6., 7., 8., 9. un 10. punktā minētie atvasinātie finanšu instrumenti, kas ir saistīti ar attiecīgo finanšu instrumentu vai atsaucas uz to, ja apturēšanas vai izslēgšanas pamatā ir aizdomas par tirgus ļaunprātīgu izmantošanu, akciju atpirkšanas piedāvājumu vai iekšējās informācijas par emitentu vai finanšu instrumentu neatklāšanu, pārkāpjot Regulas Nr.  596/2014 7. un 17. pantu, izņemot gadījumus, kad šāda apturēšana vai izslēgšana varētu radīt būtisku kaitējumu ieguldītāju interesēm vai normālai tirgus darbībai. Latvijas Banka nekavējoties publisko šādu lēmumu un paziņo par to Eiropas Vērtspapīru un tirgu iestādei un citu dalībvalstu attiecīgajām uzraudzības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133.</w:t>
      </w:r>
      <w:r w:rsidR="00000000" w:rsidRPr="00000000" w:rsidDel="00000000">
        <w:rPr>
          <w:vertAlign w:val="superscript"/>
          <w:rtl w:val="0"/>
        </w:rPr>
        <w:t xml:space="preserve">11</w:t>
      </w:r>
      <w:r w:rsidR="00000000" w:rsidRPr="00000000" w:rsidDel="00000000">
        <w:rPr>
          <w:rtl w:val="0"/>
        </w:rPr>
        <w:t xml:space="preserve"> panta trešās daļas 3., 4. un 6. punktā teikts, ka DT sistēmai izstrādā un ievieš noteikumus, sistēmas un procedūras, nodrošinot, t. sk., ka sākotnēji iekļaujot finanšu instrumentu tirdzniecībai DT sistēmā, publiski ir pieejama informācija, kas ļauj ieguldītājiem pieņemt lēmumu par ieguldīšanu šādos finanšu instrumentos, vai atbilstošs informācijas dokuments, vai prospekts, ja piemērojamas publiskā piedāvājuma izteikšanas prasības; emitenti vai to pilnvarotās personas regulāri publicē finanšu pārskatus, tostarp revidētus gada pārskatus; emitentu regulāri sniegtā informācija tiek uzglabāta un publicēta.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150. panta 2.</w:t>
      </w:r>
      <w:r w:rsidR="00000000" w:rsidRPr="00000000" w:rsidDel="00000000">
        <w:rPr>
          <w:vertAlign w:val="superscript"/>
          <w:rtl w:val="0"/>
        </w:rPr>
        <w:t xml:space="preserve">3</w:t>
      </w:r>
      <w:r w:rsidR="00000000" w:rsidRPr="00000000" w:rsidDel="00000000">
        <w:rPr>
          <w:rtl w:val="0"/>
        </w:rPr>
        <w:t xml:space="preserve"> daļā noteikts, ka Latvijas Banka informāciju par personām, kurām piemērotas sankcijas un administratīvie pasākumi saskaņā ar šā likuma 148. panta sešpadsmito un 16.</w:t>
      </w:r>
      <w:r w:rsidR="00000000" w:rsidRPr="00000000" w:rsidDel="00000000">
        <w:rPr>
          <w:vertAlign w:val="superscript"/>
          <w:rtl w:val="0"/>
        </w:rPr>
        <w:t xml:space="preserve">1</w:t>
      </w:r>
      <w:r w:rsidR="00000000" w:rsidRPr="00000000" w:rsidDel="00000000">
        <w:rPr>
          <w:rtl w:val="0"/>
        </w:rPr>
        <w:t xml:space="preserve"> daļu, nodod Eiropas vienotajam piekļuves punktam, kā arī formātu un kāda informācija ir jāiekļauj.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2023/2859 1.pants paredz, ka līdz 2027. gada 10. jūlijam Eiropas Vērtspapīru un tirgu iestāde, kas izveidota ar Eiropas Parlamenta un Padomes  2010. gada 24. novembra Regulu (ES) Nr. 1095/2010, ar ko izveido Eiropas Uzraudzības iestādi (Eiropas Vērtspapīru un tirgu iestādi), groza Lēmumu Nr. 716/2009/EK un atceļ Komisijas Lēmumu 2009/77/EK, (turpmāk – EVTI) izveido un pārvalda ESAP, kas nodrošina centralizētu piekļuvi informācijai, ko publisko saskaņā ar regulas nr. 2023/2859 pielikumā uzskaitītajiem Savienības leģislatīvajiem aktiem, tostarp Direktīvas Nr. 2007/36 un Direktīvā Nr. 2014/65 noteikto informāciju. ESAP funkcijas noteiktas Regulas Nr. 2023/2859 7.pantā.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reglamentējošais normatīvais akts, kurš attiecas uz uzņēmumiem, uz kuriem attiecas Direktīvas Nr. 2007/36 14.c pantā un Direktīvas Nr. 2014/65 87.a panta noteiktās prasības par informācijas nodošanu ESAP, ir Finanšu instrumentu tirgus likums, tad, lai pārņemtu direktīvas nr. 2023/2864 prasības, ir jāveic grozījumi Likumā.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2007/36 14.c pantā un Direktīvas Nr. 2014/65 87.a panta “Informācijas pieejamība Eiropas vienotajā piekļuves punktā” prasības, kas izriet no direktīvas Nr. 2023/2864, Likums papildināts ar jaunu 59.</w:t>
      </w:r>
      <w:r w:rsidR="00000000" w:rsidRPr="00000000" w:rsidDel="00000000">
        <w:rPr>
          <w:vertAlign w:val="superscript"/>
          <w:rtl w:val="0"/>
        </w:rPr>
        <w:t xml:space="preserve">12</w:t>
      </w:r>
      <w:r w:rsidR="00000000" w:rsidRPr="00000000" w:rsidDel="00000000">
        <w:rPr>
          <w:rtl w:val="0"/>
        </w:rPr>
        <w:t xml:space="preserve"> pantu, precizēta 128.</w:t>
      </w:r>
      <w:r w:rsidR="00000000" w:rsidRPr="00000000" w:rsidDel="00000000">
        <w:rPr>
          <w:vertAlign w:val="superscript"/>
          <w:rtl w:val="0"/>
        </w:rPr>
        <w:t xml:space="preserve">2</w:t>
      </w:r>
      <w:r w:rsidR="00000000" w:rsidRPr="00000000" w:rsidDel="00000000">
        <w:rPr>
          <w:rtl w:val="0"/>
        </w:rPr>
        <w:t xml:space="preserve"> panta 7.</w:t>
      </w:r>
      <w:r w:rsidR="00000000" w:rsidRPr="00000000" w:rsidDel="00000000">
        <w:rPr>
          <w:vertAlign w:val="superscript"/>
          <w:rtl w:val="0"/>
        </w:rPr>
        <w:t xml:space="preserve">2</w:t>
      </w:r>
      <w:r w:rsidR="00000000" w:rsidRPr="00000000" w:rsidDel="00000000">
        <w:rPr>
          <w:rtl w:val="0"/>
        </w:rPr>
        <w:t xml:space="preserve"> daļa, papildināts ar jaunu 128.</w:t>
      </w:r>
      <w:r w:rsidR="00000000" w:rsidRPr="00000000" w:rsidDel="00000000">
        <w:rPr>
          <w:vertAlign w:val="superscript"/>
          <w:rtl w:val="0"/>
        </w:rPr>
        <w:t xml:space="preserve">4</w:t>
      </w:r>
      <w:r w:rsidR="00000000" w:rsidRPr="00000000" w:rsidDel="00000000">
        <w:rPr>
          <w:rtl w:val="0"/>
        </w:rPr>
        <w:t xml:space="preserve"> pantu un precizēta 150. panta 2.</w:t>
      </w:r>
      <w:r w:rsidR="00000000" w:rsidRPr="00000000" w:rsidDel="00000000">
        <w:rPr>
          <w:vertAlign w:val="superscript"/>
          <w:rtl w:val="0"/>
        </w:rPr>
        <w:t xml:space="preserve">3</w:t>
      </w:r>
      <w:r w:rsidR="00000000" w:rsidRPr="00000000" w:rsidDel="00000000">
        <w:rPr>
          <w:rtl w:val="0"/>
        </w:rPr>
        <w:t xml:space="preserve">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2007/36 14.c panta 1. punktā noteikts, ka no 2030. gada 10. janvāra dalībvalstis nodrošina, ka, informāciju par pilnvarotā padomdevēja darbības pārredzamību, atalgojuma politika, atalgojuma ziņojumu, saistīto pušu darījumu pārredzamību, akcionāru sapulces balsošanas rezultātiem, regulētās vienības vienlaikus iesniedz minēto informāciju šā panta 3. punktā minētajai informācijas vākšanas struktūrai, lai tie būtu pieejami ESAP.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ESAP nododamās informācijas tehniskajām prasībām Direktīvas Nr. 2007/36 14.c panta 1.punktā noteikts, ka dalībvalstis nodrošina, ka informācija tiek iesniegta datu izgūšanai piemērotā formātā, kā definēts Regulas Nr. 2023/2859 2. panta 3) punktā, vai – ja to prasa Savienības vai valstu tiesību akti – mašīnlasāmā formātā, kā definēts minētās regulas 2. panta 4) punktā. Informācijai tiek pievienoti metadati, kas noteikti Direktīvas Nr. 2007/36 14.c panta 1. punkta b)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2007/36 14.c panta 2. punkts paredz, ka šā panta 1. punkta b) apakšpunkta ii) punkta izpildei dalībvalstis nodrošina, ka vienības iegūst juridiskās personas identifikatoru.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2007/36 14.c panta 3. punkts paredz, ka dalībvalstis līdz 2030. gada 9. janvārim izraugās vismaz vienu informācijas vākšanas struktūru, kā definēts Regulas 2023/2859 2. panta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2014/65 87.a panta 1. punktā noteikts, ka no 2030. gada 10. janvāra dalībvalstis nodrošina, ka, informāciju par ikvienas personas būtiskas līdzdalības iegūšanu, palielināšanu vai samazināšanu, par finanšu instrumentu tirdzniecības apturēšanu vai izslēgšanu no regulētā tirgus, par klienta rīkojuma izpildes vietu pēc darījuma izpildes, regulētās vienības vienlaikus iesniedz minēto informāciju šā panta 3. punktā minētajai informācijas vākšanas struktūrai, lai tie būtu pieejami ESAP.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ESAP nododamās informācijas tehniskajām prasībām Direktīvas Nr. 2014/65 87.a panta 1. punktā noteikts, ka dalībvalstis nodrošina, ka informācija tiek iesniegta datu izgūšanai piemērotā formātā, kā definēts Regulas Nr. 2023/2859 2. panta 3) punktā, vai – ja to prasa Savienības vai valstu tiesību akti – mašīnlasāmā formātā, kā definēts minētās regulas 2. panta 4) punktā. Informācijai tiek pievienoti metadati, kas noteikti Direktīvas Nr. 2014/65 87.a panta 1. punkta b)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2014/65 87.a panta 2. punkts paredz, ka šā panta 1. punkta b) apakšpunkta ii) punkta izpildei dalībvalstis nodrošina, ka vienības iegūst juridiskās personas identifikatoru.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2014/65 87.a panta 3. punkts paredz, ka lai nodrošinātu, ka Direktīvas Nr. 2014/65 27. panta 3. un 6. punktā un 33. panta 3. punkta c), d) un f) apakšpunktā minētā informācija ir pieejama ESAP, dalībvalstis līdz 2030. gada 9. janvārim izraugās vismaz vienu informācijas vākšanas struktūru, kā definēts Regulas 2023/2859 2. panta 2) punktā, un par to paziņo EVTI un, lai nodrošinātu, ka Direktīvas Nr. 2014/65 46. panta 2. punktā minētā informācija ir pieejama ESAP, Regulas 2023/2859 2. panta 2) punktā noteiktā informācijas vākšanas struktūra ir kompetentā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2014/65 87.a panta 4. punktā noteikts, ka no 2030. gada 10. janvāra dalībvalstis nodrošina, ka, informācija par publiski pieejamu informāciju par ieguldīšanu finanšu instrumentos, kas sākotnēji iekļauti finanšu instrumentu tirdzniecības DT sistēmā, par publiski pieejamiem finanšu pārskatiem, tostarp revidētiem, kā arī par emitentu regulāri sniegtās informācijas uzglabāšanu un publicēšanu, ir pieejama ESAP. Lai to panāktu, Regulas 2023/2859 2. panta 2) punktā definētā informācijas vākšanas struktūra ir kompetentā iestāde.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ESAP nododamās informācijas tehniskajām prasībām Direktīvas Nr. 2014/65 87.a panta 4.punktā noteikts, ka dalībvalstis nodrošina, ka informācija tiek iesniegta datu izgūšanai piemērotā formātā, kā definēts Regulas Nr. 2023/2859 2. panta 3) punktā. Informācijai tiek pievienoti metadati, kas noteikti Direktīvas Nr. 2014/65 87.a panta 4. punkta b) apakšpunktā.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Likumu ar jaunu 59.</w:t>
      </w:r>
      <w:r w:rsidR="00000000" w:rsidRPr="00000000" w:rsidDel="00000000">
        <w:rPr>
          <w:vertAlign w:val="superscript"/>
          <w:rtl w:val="0"/>
        </w:rPr>
        <w:t xml:space="preserve">12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12</w:t>
      </w:r>
      <w:r w:rsidR="00000000" w:rsidRPr="00000000" w:rsidDel="00000000">
        <w:rPr>
          <w:rtl w:val="0"/>
        </w:rPr>
        <w:t xml:space="preserve"> pants. Informācijas nodošana Eiropas vienotajam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 šā likuma 59.</w:t>
      </w:r>
      <w:r w:rsidR="00000000" w:rsidRPr="00000000" w:rsidDel="00000000">
        <w:rPr>
          <w:vertAlign w:val="superscript"/>
          <w:rtl w:val="0"/>
        </w:rPr>
        <w:t xml:space="preserve">3</w:t>
      </w:r>
      <w:r w:rsidR="00000000" w:rsidRPr="00000000" w:rsidDel="00000000">
        <w:rPr>
          <w:rtl w:val="0"/>
        </w:rPr>
        <w:t xml:space="preserve"> panta ceturtajā daļā, 59.</w:t>
      </w:r>
      <w:r w:rsidR="00000000" w:rsidRPr="00000000" w:rsidDel="00000000">
        <w:rPr>
          <w:vertAlign w:val="superscript"/>
          <w:rtl w:val="0"/>
        </w:rPr>
        <w:t xml:space="preserve">4</w:t>
      </w:r>
      <w:r w:rsidR="00000000" w:rsidRPr="00000000" w:rsidDel="00000000">
        <w:rPr>
          <w:rtl w:val="0"/>
        </w:rPr>
        <w:t xml:space="preserve"> panta sestajā daļā, 59.</w:t>
      </w:r>
      <w:r w:rsidR="00000000" w:rsidRPr="00000000" w:rsidDel="00000000">
        <w:rPr>
          <w:vertAlign w:val="superscript"/>
          <w:rtl w:val="0"/>
        </w:rPr>
        <w:t xml:space="preserve">11</w:t>
      </w:r>
      <w:r w:rsidR="00000000" w:rsidRPr="00000000" w:rsidDel="00000000">
        <w:rPr>
          <w:rtl w:val="0"/>
        </w:rPr>
        <w:t xml:space="preserve"> panta piektajā daļā minēto informāciju iesniedz Latvijas Bankai šā likuma 64.</w:t>
      </w:r>
      <w:r w:rsidR="00000000" w:rsidRPr="00000000" w:rsidDel="00000000">
        <w:rPr>
          <w:vertAlign w:val="superscript"/>
          <w:rtl w:val="0"/>
        </w:rPr>
        <w:t xml:space="preserve">2</w:t>
      </w:r>
      <w:r w:rsidR="00000000" w:rsidRPr="00000000" w:rsidDel="00000000">
        <w:rPr>
          <w:rtl w:val="0"/>
        </w:rPr>
        <w:t xml:space="preserve"> panta 2.</w:t>
      </w:r>
      <w:r w:rsidR="00000000" w:rsidRPr="00000000" w:rsidDel="00000000">
        <w:rPr>
          <w:vertAlign w:val="superscript"/>
          <w:rtl w:val="0"/>
        </w:rPr>
        <w:t xml:space="preserve">1</w:t>
      </w:r>
      <w:r w:rsidR="00000000" w:rsidRPr="00000000" w:rsidDel="00000000">
        <w:rPr>
          <w:rtl w:val="0"/>
        </w:rPr>
        <w:t xml:space="preserve"> daļas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Likumu ar jaunu 128.</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r w:rsidR="00000000" w:rsidRPr="00000000" w:rsidDel="00000000">
        <w:rPr>
          <w:vertAlign w:val="superscript"/>
          <w:rtl w:val="0"/>
        </w:rPr>
        <w:t xml:space="preserve">4</w:t>
      </w:r>
      <w:r w:rsidR="00000000" w:rsidRPr="00000000" w:rsidDel="00000000">
        <w:rPr>
          <w:rtl w:val="0"/>
        </w:rPr>
        <w:t xml:space="preserve"> pants. Informācijas pieejamība Eiropas vienotajā piekļuves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Ieguldījumu brokeru sabiedrība un kredītiestāde šā likuma 126.</w:t>
      </w:r>
      <w:r w:rsidR="00000000" w:rsidRPr="00000000" w:rsidDel="00000000">
        <w:rPr>
          <w:vertAlign w:val="superscript"/>
          <w:rtl w:val="0"/>
        </w:rPr>
        <w:t xml:space="preserve">3</w:t>
      </w:r>
      <w:r w:rsidR="00000000" w:rsidRPr="00000000" w:rsidDel="00000000">
        <w:rPr>
          <w:rtl w:val="0"/>
        </w:rPr>
        <w:t xml:space="preserve"> panta pirmajā daļā minēto informāciju iesniedz Latvijas Bankai ievērojot šā likuma 64.</w:t>
      </w:r>
      <w:r w:rsidR="00000000" w:rsidRPr="00000000" w:rsidDel="00000000">
        <w:rPr>
          <w:vertAlign w:val="superscript"/>
          <w:rtl w:val="0"/>
        </w:rPr>
        <w:t xml:space="preserve">2</w:t>
      </w:r>
      <w:r w:rsidR="00000000" w:rsidRPr="00000000" w:rsidDel="00000000">
        <w:rPr>
          <w:rtl w:val="0"/>
        </w:rPr>
        <w:t xml:space="preserve"> panta 2.</w:t>
      </w:r>
      <w:r w:rsidR="00000000" w:rsidRPr="00000000" w:rsidDel="00000000">
        <w:rPr>
          <w:vertAlign w:val="superscript"/>
          <w:rtl w:val="0"/>
        </w:rPr>
        <w:t xml:space="preserve">1</w:t>
      </w:r>
      <w:r w:rsidR="00000000" w:rsidRPr="00000000" w:rsidDel="00000000">
        <w:rPr>
          <w:rtl w:val="0"/>
        </w:rPr>
        <w:t xml:space="preserve"> daļas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 nodrošina šī panta pirmajā daļā, šā likuma 12. panta pirmajā un otrajā daļā, 55. panta piektajā daļā, 59.</w:t>
      </w:r>
      <w:r w:rsidR="00000000" w:rsidRPr="00000000" w:rsidDel="00000000">
        <w:rPr>
          <w:vertAlign w:val="superscript"/>
          <w:rtl w:val="0"/>
        </w:rPr>
        <w:t xml:space="preserve">12</w:t>
      </w:r>
      <w:r w:rsidR="00000000" w:rsidRPr="00000000" w:rsidDel="00000000">
        <w:rPr>
          <w:rtl w:val="0"/>
        </w:rPr>
        <w:t xml:space="preserve"> pantā, 126.</w:t>
      </w:r>
      <w:r w:rsidR="00000000" w:rsidRPr="00000000" w:rsidDel="00000000">
        <w:rPr>
          <w:vertAlign w:val="superscript"/>
          <w:rtl w:val="0"/>
        </w:rPr>
        <w:t xml:space="preserve">3</w:t>
      </w:r>
      <w:r w:rsidR="00000000" w:rsidRPr="00000000" w:rsidDel="00000000">
        <w:rPr>
          <w:rtl w:val="0"/>
        </w:rPr>
        <w:t xml:space="preserve"> panta pirmajā daļā,  133.</w:t>
      </w:r>
      <w:r w:rsidR="00000000" w:rsidRPr="00000000" w:rsidDel="00000000">
        <w:rPr>
          <w:vertAlign w:val="superscript"/>
          <w:rtl w:val="0"/>
        </w:rPr>
        <w:t xml:space="preserve">8</w:t>
      </w:r>
      <w:r w:rsidR="00000000" w:rsidRPr="00000000" w:rsidDel="00000000">
        <w:rPr>
          <w:rtl w:val="0"/>
        </w:rPr>
        <w:t xml:space="preserve"> panta otrajā daļā un 133.</w:t>
      </w:r>
      <w:r w:rsidR="00000000" w:rsidRPr="00000000" w:rsidDel="00000000">
        <w:rPr>
          <w:vertAlign w:val="superscript"/>
          <w:rtl w:val="0"/>
        </w:rPr>
        <w:t xml:space="preserve">11</w:t>
      </w:r>
      <w:r w:rsidR="00000000" w:rsidRPr="00000000" w:rsidDel="00000000">
        <w:rPr>
          <w:rtl w:val="0"/>
        </w:rPr>
        <w:t xml:space="preserve"> panta trešās daļas 3., 4. un 6. punktā minētās informācijas nodošanu Eiropas vienotajam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59.</w:t>
      </w:r>
      <w:r w:rsidR="00000000" w:rsidRPr="00000000" w:rsidDel="00000000">
        <w:rPr>
          <w:vertAlign w:val="superscript"/>
          <w:rtl w:val="0"/>
        </w:rPr>
        <w:t xml:space="preserve">12</w:t>
      </w:r>
      <w:r w:rsidR="00000000" w:rsidRPr="00000000" w:rsidDel="00000000">
        <w:rPr>
          <w:rtl w:val="0"/>
        </w:rPr>
        <w:t xml:space="preserve"> pantā  un 126.</w:t>
      </w:r>
      <w:r w:rsidR="00000000" w:rsidRPr="00000000" w:rsidDel="00000000">
        <w:rPr>
          <w:vertAlign w:val="superscript"/>
          <w:rtl w:val="0"/>
        </w:rPr>
        <w:t xml:space="preserve">3</w:t>
      </w:r>
      <w:r w:rsidR="00000000" w:rsidRPr="00000000" w:rsidDel="00000000">
        <w:rPr>
          <w:rtl w:val="0"/>
        </w:rPr>
        <w:t xml:space="preserve"> panta pirmajā daļā minēto informāciju sniedz ievērojot šā likuma 64.</w:t>
      </w:r>
      <w:r w:rsidR="00000000" w:rsidRPr="00000000" w:rsidDel="00000000">
        <w:rPr>
          <w:vertAlign w:val="superscript"/>
          <w:rtl w:val="0"/>
        </w:rPr>
        <w:t xml:space="preserve">2</w:t>
      </w:r>
      <w:r w:rsidR="00000000" w:rsidRPr="00000000" w:rsidDel="00000000">
        <w:rPr>
          <w:rtl w:val="0"/>
        </w:rPr>
        <w:t xml:space="preserve"> panta 2.</w:t>
      </w:r>
      <w:r w:rsidR="00000000" w:rsidRPr="00000000" w:rsidDel="00000000">
        <w:rPr>
          <w:vertAlign w:val="superscript"/>
          <w:rtl w:val="0"/>
        </w:rPr>
        <w:t xml:space="preserve">1</w:t>
      </w:r>
      <w:r w:rsidR="00000000" w:rsidRPr="00000000" w:rsidDel="00000000">
        <w:rPr>
          <w:rtl w:val="0"/>
        </w:rPr>
        <w:t xml:space="preserve"> daļas noteiktās prasības, tai skaitā to kapitālsabiedrību vai aktīvu pārvaldītāju nosaukumus, uz kurām attiecas informācija un norādi, vai informācija satur fiziskas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12. panta pirmajā un otrajā daļā, un 133.</w:t>
      </w:r>
      <w:r w:rsidR="00000000" w:rsidRPr="00000000" w:rsidDel="00000000">
        <w:rPr>
          <w:vertAlign w:val="superscript"/>
          <w:rtl w:val="0"/>
        </w:rPr>
        <w:t xml:space="preserve">11</w:t>
      </w:r>
      <w:r w:rsidR="00000000" w:rsidRPr="00000000" w:rsidDel="00000000">
        <w:rPr>
          <w:rtl w:val="0"/>
        </w:rPr>
        <w:t xml:space="preserve"> panta trešās daļas 3., 4. un 6. punktā minēto informāciju sniedz Regulas Nr. 2023/2859 2. panta 3. vai 4. punktā noteiktajā formātā. Informācija satur Regulas Nr. 2023/2859 7. panta 4. punkta "b", "c" un “d” apakšpunktā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55. panta piektajā un 133.</w:t>
      </w:r>
      <w:r w:rsidR="00000000" w:rsidRPr="00000000" w:rsidDel="00000000">
        <w:rPr>
          <w:vertAlign w:val="superscript"/>
          <w:rtl w:val="0"/>
        </w:rPr>
        <w:t xml:space="preserve">8</w:t>
      </w:r>
      <w:r w:rsidR="00000000" w:rsidRPr="00000000" w:rsidDel="00000000">
        <w:rPr>
          <w:rtl w:val="0"/>
        </w:rPr>
        <w:t xml:space="preserve"> panta otrajā daļā minēto informāciju sniedz Regulas Nr. 2023/2859 2. panta 3. punktā noteiktajā formātā. Informācija satur Regulas Nr. 2023/2859 7. panta 4. punkta "b" un "c" apakšpunktā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150. panta 2.</w:t>
      </w:r>
      <w:r w:rsidR="00000000" w:rsidRPr="00000000" w:rsidDel="00000000">
        <w:rPr>
          <w:vertAlign w:val="superscript"/>
          <w:rtl w:val="0"/>
        </w:rPr>
        <w:t xml:space="preserve">3</w:t>
      </w:r>
      <w:r w:rsidR="00000000" w:rsidRPr="00000000" w:rsidDel="00000000">
        <w:rPr>
          <w:rtl w:val="0"/>
        </w:rPr>
        <w:t xml:space="preserve"> daļā ar atsauci uz 148. panta astoto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Juridiskas personas identifikators jeb LEI (Legal Entity Identifier) ir unikāls globāls uzņēmuma identifikācijas numurs, ko izdevusi Globālā juridisko personu identifikatoru fonda vietējā struktūrvienība. Finanšu iestādes un regulatori izmanto LEI, lai identificētu finanšu tirgu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Juridiskas personas identifikators ir 20 rakstzīmju, burtu un ciparu kods, kura pamatā ir ISO 17442 standarts, ko izstrādājusi Starptautiskā standartizācijas organizācija (ISO). Tas apkopo galveno atsauces datu informāciju, kas ļauj skaidri un unikāli identificēt juridiskas personas, kuras piedalās finanšu darījumos atbilstoši Komisijas deleģētās 2016. gada 14. jūlija regulas (ES) 2017/585 ar ko Eiropas Parlamenta un Padomes Regulu (ES) Nr. 600/2014 papildina attiecībā uz regulatīvajiem tehniskajiem standartiem par finanšu instrumentu atsauces datu standartiem un formātiem un tehniskiem līdzekļiem saistībā ar Eiropas Vērtspapīru un tirgu iestādes un kompetento iestāžu veicamajiem pasākumiem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pārejas noteikumus ar nosacījumu, ka Likuma 59.</w:t>
      </w:r>
      <w:r w:rsidR="00000000" w:rsidRPr="00000000" w:rsidDel="00000000">
        <w:rPr>
          <w:vertAlign w:val="superscript"/>
          <w:rtl w:val="0"/>
        </w:rPr>
        <w:t xml:space="preserve">12</w:t>
      </w:r>
      <w:r w:rsidR="00000000" w:rsidRPr="00000000" w:rsidDel="00000000">
        <w:rPr>
          <w:rtl w:val="0"/>
        </w:rPr>
        <w:t xml:space="preserve"> pantu, 128.</w:t>
      </w:r>
      <w:r w:rsidR="00000000" w:rsidRPr="00000000" w:rsidDel="00000000">
        <w:rPr>
          <w:vertAlign w:val="superscript"/>
          <w:rtl w:val="0"/>
        </w:rPr>
        <w:t xml:space="preserve">4</w:t>
      </w:r>
      <w:r w:rsidR="00000000" w:rsidRPr="00000000" w:rsidDel="00000000">
        <w:rPr>
          <w:rtl w:val="0"/>
        </w:rPr>
        <w:t xml:space="preserve"> pantu  un 150. panta 2.</w:t>
      </w:r>
      <w:r w:rsidR="00000000" w:rsidRPr="00000000" w:rsidDel="00000000">
        <w:rPr>
          <w:vertAlign w:val="superscript"/>
          <w:rtl w:val="0"/>
        </w:rPr>
        <w:t xml:space="preserve">3</w:t>
      </w:r>
      <w:r w:rsidR="00000000" w:rsidRPr="00000000" w:rsidDel="00000000">
        <w:rPr>
          <w:rtl w:val="0"/>
        </w:rPr>
        <w:t xml:space="preserve"> daļas jauno redakciju piemēro, sākot ar  2030. gada 10. janvāri.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 panta pirmās daļas 13. punktā iekļauta definīcija terminam “prospekts”, savukārt likuma 39. punktā noteikts, ka kompetentās institūcijas deleģētā funkcija ir uzraudzīt prospektu sagatavošanas, reģistrēšanas un izplatīšanas kārtību, kaut arī Latvijas Banka neuzrauga prospektu reģistrēšanas kārtību, bet pati ir kompetentā iestāde, kura veic prospektu apstiprināšanu.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 panta pirmās daļas 13. punkts izslēgts, papildinot likuma 1. panta trešo daļu ar 6.</w:t>
      </w:r>
      <w:r w:rsidR="00000000" w:rsidRPr="00000000" w:rsidDel="00000000">
        <w:rPr>
          <w:vertAlign w:val="superscript"/>
          <w:rtl w:val="0"/>
        </w:rPr>
        <w:t xml:space="preserve">1</w:t>
      </w:r>
      <w:r w:rsidR="00000000" w:rsidRPr="00000000" w:rsidDel="00000000">
        <w:rPr>
          <w:rtl w:val="0"/>
        </w:rPr>
        <w:t xml:space="preserve"> punktu, kurā precizēta termina “prospekts” definīcija Eiropas Parlamenta un Padomes 2017. gada 14. jūnija regulas (ES) 2017/1129 par prospektu, kurš jāpublicē, publiski piedāvājot vērtspapīrus vai atļaujot to tirdzniecību regulētā tirgū, un ar ko atceļ direktīvu 2003/71/EK (turpmāk - Regula Nr. 2017/1129) izpratnē, savukārt likuma 1. panta pirmās daļas 39. punktā veikts tehnisks precizējums, izslēdzot vārdu “reģistrēšanas”.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 panta 1.</w:t>
      </w:r>
      <w:r w:rsidR="00000000" w:rsidRPr="00000000" w:rsidDel="00000000">
        <w:rPr>
          <w:vertAlign w:val="superscript"/>
          <w:rtl w:val="0"/>
        </w:rPr>
        <w:t xml:space="preserve">1</w:t>
      </w:r>
      <w:r w:rsidR="00000000" w:rsidRPr="00000000" w:rsidDel="00000000">
        <w:rPr>
          <w:rtl w:val="0"/>
        </w:rPr>
        <w:t xml:space="preserve"> daļas 1. punktā ir atsauce uz Eiropas Komisijas 2003. gada 22. decembra regulu (EK) Nr.2273/2003, kura zaudējusi spēku. Vienlaikus likumā jau dota atsauce uz Regulu Nr. 596/2014 (šīs daļas 8. punktā), kura atcēla šajā normā minēto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3.panta 1.</w:t>
      </w:r>
      <w:r w:rsidR="00000000" w:rsidRPr="00000000" w:rsidDel="00000000">
        <w:rPr>
          <w:vertAlign w:val="superscript"/>
          <w:rtl w:val="0"/>
        </w:rPr>
        <w:t xml:space="preserve">1</w:t>
      </w:r>
      <w:r w:rsidR="00000000" w:rsidRPr="00000000" w:rsidDel="00000000">
        <w:rPr>
          <w:rtl w:val="0"/>
        </w:rPr>
        <w:t xml:space="preserve"> daļas 2.punktā ir atsauce uz Komisijas 2004.gada 29.aprīļa regulu (EK) Nr. 809/2004 par Eiropas Parlamenta un Padomes direktīvas 2003/71/EK īstenošanu attiecībā uz prospektos iekļauto informāciju, kā arī prospektu formu, informācijas iekļaušanu ar norādi un prospektu publicēšanu, un attiecībā uz reklāmas izplatīšanu, kaut arī ar Komisijas 2019. gada 14. marta Deleģētā regula (ES) 2019/980, ar ko Eiropas Parlamenta un Padomes Regulu (ES) 2017/1129 papildina attiecībā uz tā prospekta formātu, saturu, pārbaudi un apstiprināšanu, kurš jāpublicē, publiski piedāvājot vērtspapīrus vai atļaujot to tirdzniecību regulētā tirgū, un ar ko atceļ Komisijas Regulu (EK) Nr. 809/2004 spēkā stāšanos, Regula Nr. 809/2004 spēku zaudēja.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 panta 1.</w:t>
      </w:r>
      <w:r w:rsidR="00000000" w:rsidRPr="00000000" w:rsidDel="00000000">
        <w:rPr>
          <w:vertAlign w:val="superscript"/>
          <w:rtl w:val="0"/>
        </w:rPr>
        <w:t xml:space="preserve">1</w:t>
      </w:r>
      <w:r w:rsidR="00000000" w:rsidRPr="00000000" w:rsidDel="00000000">
        <w:rPr>
          <w:rtl w:val="0"/>
        </w:rPr>
        <w:t xml:space="preserve"> daļas 1. punkts izslēgts, lai novērstu neatbilstību ES tiesību aktiem, savukārt likuma 3. panta 1.</w:t>
      </w:r>
      <w:r w:rsidR="00000000" w:rsidRPr="00000000" w:rsidDel="00000000">
        <w:rPr>
          <w:vertAlign w:val="superscript"/>
          <w:rtl w:val="0"/>
        </w:rPr>
        <w:t xml:space="preserve">1</w:t>
      </w:r>
      <w:r w:rsidR="00000000" w:rsidRPr="00000000" w:rsidDel="00000000">
        <w:rPr>
          <w:rtl w:val="0"/>
        </w:rPr>
        <w:t xml:space="preserve"> daļas 2. punkts papildināts, lai izpildītu Regulas 2017/1129 31. panta 1. punkta prasības, kas uzliek par pienākumu dalībvalstij izraudzīties vienu kompetento administratīvo iestādi, kas ir atbildīga par šīs regulā paredzēto pienākumu izpildi un par to, lai tiktu nodrošināta šīs regulas noteikumu piemērošana, norma tiek papildināta ar atsauci uz minēto regulu.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Regulu Nr. 2017/1129 publiskais piedāvājums var tikt izteikts pēc tam, kad uzraudzības iestādē apstiprināts prospekts un tas atbilstoši Regulas Nr. 2017/1129 prasībām publicēts, t.i., Regula Nr. 2017/1129 neparedz, ka uzraudzības iestādēm papildus prospekta apstiprināšanai būtu jāpieņem arī lēmums par publiskā piedāvājuma izteikšanu, kā to šobrīd paredz Likums. Regula Nr. 2017/1129 neparedz, ka prospekta apstiprināšanai emitentam vai publiskā piedāvājuma izteicējam Latvijas Bankā jāiesniedz publiskā piedāvājuma izteicēja lēmums par attiecīgu pārvedamu vērtspapīru emisiju un publisku piedāvājumu, ja publiskā piedāvājuma izteicējs ir juridiskā persona. Arī Eiropas Vērtspapīru un tirgu iestāde (ESMA) uzskata, ka šādu dokumentu iesniegšana ir nevajadzīga un apgrūtinoša.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precizētu Likuma 14. panta nosacījumu atbilstību Eiropas Savienības tiesību aktiem, grozījumi veikti panta nosaukumā, panta otrajā daļā, nosakot, ka prospektu vērtspapīru publiskā piedāvājuma izteikšanai apstiprina Latvijas Banka, panta septītajā daļā, veicot tehniska rakstura grozījumu, kas saistīts ar to, ka Regula Nr. 2017/1129 neparedz, ka uzraudzības iestādēm papildus prospekta apstiprināšanai būtu jāpieņem arī lēmums par publiskā piedāvājuma izteikšanu, kā to šobrīd paredz Likums, panta astotajā daļā, veicot tehniska rakstura grozījumu, kas saistīts ar to, ka Regula Nr. 2017/1129 neparedz, ka uzraudzības iestādēm papildus prospekta apstiprināšanai būtu jāpieņem arī lēmums par publiskā piedāvājuma izteikšanu, kā to šobrīd paredz Likums, papildinot pantu ar 12.</w:t>
      </w:r>
      <w:r w:rsidR="00000000" w:rsidRPr="00000000" w:rsidDel="00000000">
        <w:rPr>
          <w:vertAlign w:val="superscript"/>
          <w:rtl w:val="0"/>
        </w:rPr>
        <w:t xml:space="preserve">1</w:t>
      </w:r>
      <w:r w:rsidR="00000000" w:rsidRPr="00000000" w:rsidDel="00000000">
        <w:rPr>
          <w:rtl w:val="0"/>
        </w:rPr>
        <w:t xml:space="preserve"> daļu, kurā noteikts deleģējums Latvijas Bankai izdot noteikumus, nosakot prospekta apstiprināšanai iesniedzamos dokumentus un to iesniegšanas kārtību, savukārt atbilstoši deleģējumam tiks izstrādāti Latvijas Bankas noteikumi, kuros tiks noteikts, kādi dokumenti iesniedzami, lai apstiprinātu prospektu, kā arī noteikta kārtība, kādā dokumenti iesniedzami Latvijas Bankā, īpaši aprakstot kārtību, kādā dokumenti iesniedzami platformu biznesa veicējiem, kuri savus dokumentus jau šobrīd iesniedz caur Latvijas Bankas datu ziņošanas sistēmu, kā arī izslēgta panta trīspadsmitā daļa, veicot tehniska rakstura grozījumu, kas saistīts ar likuma 1. panta trešās daļas papildināšanu ar jaunu 6.</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Regulu Nr. 2017/1129 vērtspapīrus var iekļaut regulētajā tirgū pēc tam, kad Latvijas Bankā apstiprināts prospekts. Tāpat arī Regula Nr. 2017/1129 neparedz, ka prospekta apstiprināšanai emitentam vai personai, kas lūdz pārvedamu vērtspapīru iekļaušanu regulētajā tirgū, Latvijas Bankā jāiesniedz emitenta pilnvarotas pārvaldes institūcijas lēmums par attiecīgo pārvedamu vērtspapīru iekļaušanu regulētajā tirgū. Arī Eiropas Vērtspapīru un tirgu iestāde (ESMA) uzskata, ka šāda dokumenta iesniegšana ir nevajadzīga un apgrūtinoša, tāpēc nepieciešams veikt grozījumus Likuma 48.pantā.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48. panta virsrakstā veikti tehniska rakstura grozījumi, savukārt, lai nodrošinātu panta atbilstību Regulas Nr. 2017/1129 prasībām, precizēta minētā panta pirmā daļa un izslēgta panta otrā daļa. Panta sestajā daļā veikts tehniska rakstura grozījums, jo Regula Nr. 2017/1129 paredz, ka prospekts tiek apstiprināts, nevis reģistrēts, kā arī pants tiek papildināts ar astoto daļu, kurā noteikts deleģējums Latvijas Bankai izdot noteikumus, nosakot prospekta apstiprināšanai iesniedzamos dokumentus un to iesniegšanas kārtību. Atbilstoši deleģējumam tiks izstrādāti Latvijas Bankas noteikumi, kuros tiks noteikts, kādi dokumenti iesniedzami, lai apstiprinātu prospektu, kā arī noteikta kārtība, kādā dokumenti iesniedzami Latvijas Bankā, īpaši aprakstot kārtību, kādā dokumenti iesniedzami platformu biznesa veicējiem, kuri savus dokumentus jau šobrīd iesniedz caur Latvijas Bankas datu ziņošanas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50. panta pirmajā un trešajā daļā, piektās daļas 1. punktā un septītajā daļā veikti tehniska rakstura grozījumi, jo Regula Nr. 2017/1129 paredz, ka prospekts tiek apstiprināts, nevis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55.</w:t>
      </w:r>
      <w:r w:rsidR="00000000" w:rsidRPr="00000000" w:rsidDel="00000000">
        <w:rPr>
          <w:vertAlign w:val="superscript"/>
          <w:rtl w:val="0"/>
        </w:rPr>
        <w:t xml:space="preserve">11</w:t>
      </w:r>
      <w:r w:rsidR="00000000" w:rsidRPr="00000000" w:rsidDel="00000000">
        <w:rPr>
          <w:rtl w:val="0"/>
        </w:rPr>
        <w:t xml:space="preserve"> panta ceturtās daļas 2. punktā veikts tehniska rakstura grozījums, kas saistīts ar grozījumu Likuma 3. panta 1.</w:t>
      </w:r>
      <w:r w:rsidR="00000000" w:rsidRPr="00000000" w:rsidDel="00000000">
        <w:rPr>
          <w:vertAlign w:val="superscript"/>
          <w:rtl w:val="0"/>
        </w:rPr>
        <w:t xml:space="preserve">1</w:t>
      </w:r>
      <w:r w:rsidR="00000000" w:rsidRPr="00000000" w:rsidDel="00000000">
        <w:rPr>
          <w:rtl w:val="0"/>
        </w:rPr>
        <w:t xml:space="preserve"> daļas 2. punktā, jo ar Regulas Nr. 2019/980 spēkā stāšanos, spēku zaudēja Regula Nr. 809/2004.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62. pantā veikts tehniska rakstura grozījums, kas saistīts ar grozījumu likuma 3. panta 1.</w:t>
      </w:r>
      <w:r w:rsidR="00000000" w:rsidRPr="00000000" w:rsidDel="00000000">
        <w:rPr>
          <w:vertAlign w:val="superscript"/>
          <w:rtl w:val="0"/>
        </w:rPr>
        <w:t xml:space="preserve">1</w:t>
      </w:r>
      <w:r w:rsidR="00000000" w:rsidRPr="00000000" w:rsidDel="00000000">
        <w:rPr>
          <w:rtl w:val="0"/>
        </w:rPr>
        <w:t xml:space="preserve"> daļas 1. punktā, jo ar Regulas Nr. 596/2014 spēkā stāšanos, spēku zaudēja Regula Nr. 2273/2003.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 kas ir Likuma subjekti.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šiem grozījumiem Likumā tā subjektiem nerodas papildus pienākumi.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Finanšu konglomerātu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Finanšu konglomerātu likumā" (25-TA-2284).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"Grozījumi Akciju atpirkšanas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Akciju atpirkšanas likumā" (25-TA-2326).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Likumprojekts "Grozījumi Kredītiestāžu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Kredītiestāžu likumā" (25-TA-2447).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Likumprojekts "Grozījumi Ieguldījumu pārvaldes sabiedrību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Ieguldījumu pārvaldes sabiedrību likumā" (25-TA-2538).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Likumprojekts "Grozījumi Apdrošināšanas un pārapdrošināšanas likumā".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Apdrošināšanas un pārapdrošināšanas likumā" (25-TA-2547).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Likumprojekts "Grozījumi Segto obligāciju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Segto obligāciju likumā" (25-TA-2563).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Likumprojekts "Grozījumi Apdrošināšanas un pārapdrošināšanas izplatīšanas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Apdrošināšanas un pārapdrošināšanas izplatīšanas likumā" (25-TA-2576).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Likumprojekts "Grozījumi Privāto pensiju fondu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Privāto pensiju fondu likumā" (25-TA-2585).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Likumprojekts "Grozījumi Alternatīvo ieguldījumu fondu un to pārvaldnieku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Alternatīvo ieguldījumu fondu un to pārvaldnieku likumā" (25-TA-2595).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Likumprojekts "Grozījumi Ieguldījumu brokeru sabiedrību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Ieguldījumu brokeru sabiedrību likumā" (25-TA-2604).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4.1.11. Likumprojekts "Grozījumi Kredītiestāžu un ieguldījumu brokeru sabiedrību darbības atjaunošanas un noregulējuma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Direktīvas Nr. 2023/2864 prasības, vienlaicīgi tiek virzīts likumprojekts "Grozījumi Kredītiestāžu un ieguldījumu brokeru sabiedrību darbības atjaunošanas un noregulējuma likumā" (25-TA-2691).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32023L2864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 gada 13. decembra Direktīva (ES) 2023/2864, ar ko attiecībā uz Eiropas vienotā piekļuves punkta izveidi un darbību groza konkrētas direktīvas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2022/2864 normas ir jāpārņem līdz 10.01.2026.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 gada 13. decembra Direktīva (ES) 2023/2864, ar ko attiecībā uz Eiropas vienotā piekļuves punkta izveidi un darbību groza konkrētas direktīvas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2023/2864 5. pantu Direktīvā Nr. 2007/36 iekļautais 14.c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59.</w:t>
            </w:r>
            <w:r w:rsidR="00000000" w:rsidRPr="00000000" w:rsidDel="00000000">
              <w:rPr>
                <w:sz w:val="24"/>
                <w:vertAlign w:val="superscript"/>
                <w:rtl w:val="0"/>
              </w:rPr>
              <w:t xml:space="preserve">12</w:t>
            </w:r>
            <w:r w:rsidR="00000000" w:rsidRPr="00000000" w:rsidDel="00000000">
              <w:rPr>
                <w:sz w:val="24"/>
                <w:rtl w:val="0"/>
              </w:rPr>
              <w:t xml:space="preserve"> pants. Likuma 128.</w:t>
            </w:r>
            <w:r w:rsidR="00000000" w:rsidRPr="00000000" w:rsidDel="00000000">
              <w:rPr>
                <w:sz w:val="24"/>
                <w:vertAlign w:val="superscript"/>
                <w:rtl w:val="0"/>
              </w:rPr>
              <w:t xml:space="preserve">4</w:t>
            </w:r>
            <w:r w:rsidR="00000000" w:rsidRPr="00000000" w:rsidDel="00000000">
              <w:rPr>
                <w:sz w:val="24"/>
                <w:rtl w:val="0"/>
              </w:rPr>
              <w:t xml:space="preserve"> panta pirmā un otrā daļa. Pārejas noteikumu 85.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2023/2864 5. pantu Direktīvā Nr.  2007/36 iekļautais 14.c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128.</w:t>
            </w:r>
            <w:r w:rsidR="00000000" w:rsidRPr="00000000" w:rsidDel="00000000">
              <w:rPr>
                <w:sz w:val="24"/>
                <w:vertAlign w:val="superscript"/>
                <w:rtl w:val="0"/>
              </w:rPr>
              <w:t xml:space="preserve">4</w:t>
            </w:r>
            <w:r w:rsidR="00000000" w:rsidRPr="00000000" w:rsidDel="00000000">
              <w:rPr>
                <w:sz w:val="24"/>
                <w:rtl w:val="0"/>
              </w:rPr>
              <w:t xml:space="preserve"> panta otrā daļa. Likuma 64.</w:t>
            </w:r>
            <w:r w:rsidR="00000000" w:rsidRPr="00000000" w:rsidDel="00000000">
              <w:rPr>
                <w:sz w:val="24"/>
                <w:vertAlign w:val="superscript"/>
                <w:rtl w:val="0"/>
              </w:rPr>
              <w:t xml:space="preserve">2</w:t>
            </w:r>
            <w:r w:rsidR="00000000" w:rsidRPr="00000000" w:rsidDel="00000000">
              <w:rPr>
                <w:sz w:val="24"/>
                <w:rtl w:val="0"/>
              </w:rPr>
              <w:t xml:space="preserve"> panta 2.</w:t>
            </w:r>
            <w:r w:rsidR="00000000" w:rsidRPr="00000000" w:rsidDel="00000000">
              <w:rPr>
                <w:sz w:val="24"/>
                <w:vertAlign w:val="superscript"/>
                <w:rtl w:val="0"/>
              </w:rPr>
              <w:t xml:space="preserve">2</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2023/2864 12. pantu Direktīvā Nr. 2014/65 iekļautais 87.a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128.</w:t>
            </w:r>
            <w:r w:rsidR="00000000" w:rsidRPr="00000000" w:rsidDel="00000000">
              <w:rPr>
                <w:sz w:val="24"/>
                <w:vertAlign w:val="superscript"/>
                <w:rtl w:val="0"/>
              </w:rPr>
              <w:t xml:space="preserve">4</w:t>
            </w:r>
            <w:r w:rsidR="00000000" w:rsidRPr="00000000" w:rsidDel="00000000">
              <w:rPr>
                <w:sz w:val="24"/>
                <w:rtl w:val="0"/>
              </w:rPr>
              <w:t xml:space="preserve"> panta pirmā, otrā un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2023/2864 12. pantu Direktīvā Nr. 2014/65 iekļautais 87.a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128.</w:t>
            </w:r>
            <w:r w:rsidR="00000000" w:rsidRPr="00000000" w:rsidDel="00000000">
              <w:rPr>
                <w:sz w:val="24"/>
                <w:vertAlign w:val="superscript"/>
                <w:rtl w:val="0"/>
              </w:rPr>
              <w:t xml:space="preserve">4 </w:t>
            </w:r>
            <w:r w:rsidR="00000000" w:rsidRPr="00000000" w:rsidDel="00000000">
              <w:rPr>
                <w:sz w:val="24"/>
                <w:rtl w:val="0"/>
              </w:rPr>
              <w:t xml:space="preserve">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Nr. 2023/2864 12. pantu Direktīvā Nr. 2014/65 iekļautais 87.a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128.</w:t>
            </w:r>
            <w:r w:rsidR="00000000" w:rsidRPr="00000000" w:rsidDel="00000000">
              <w:rPr>
                <w:sz w:val="24"/>
                <w:vertAlign w:val="superscript"/>
                <w:rtl w:val="0"/>
              </w:rPr>
              <w:t xml:space="preserve">4</w:t>
            </w:r>
            <w:r w:rsidR="00000000" w:rsidRPr="00000000" w:rsidDel="00000000">
              <w:rPr>
                <w:sz w:val="24"/>
                <w:rtl w:val="0"/>
              </w:rPr>
              <w:t xml:space="preserve"> panta otrā un ceturtā daļa. Likuma 150. panta 2.</w:t>
            </w:r>
            <w:r w:rsidR="00000000" w:rsidRPr="00000000" w:rsidDel="00000000">
              <w:rPr>
                <w:sz w:val="24"/>
                <w:vertAlign w:val="superscript"/>
                <w:rtl w:val="0"/>
              </w:rPr>
              <w:t xml:space="preserve">3</w:t>
            </w:r>
            <w:r w:rsidR="00000000" w:rsidRPr="00000000" w:rsidDel="00000000">
              <w:rPr>
                <w:sz w:val="24"/>
                <w:rtl w:val="0"/>
              </w:rPr>
              <w:t xml:space="preserve"> daļa. Pārejas noteikumu 85.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publicēta pēc publiskās apspriešanas.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publicēta pēc publiskās apspriešanas.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25-TA-2713</w:t>
    </w:r>
    <w:r>
      <w:br/>
    </w:r>
    <w:r w:rsidR="00000000" w:rsidRPr="00000000" w:rsidDel="00000000">
      <w:rPr>
        <w:rtl w:val="0"/>
      </w:rPr>
      <w:t xml:space="preserve">Izdrukāts 29.07.2026. 23.29 - 1.0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25-TA-2713</w:t>
    </w:r>
    <w:r>
      <w:br/>
    </w:r>
    <w:r w:rsidR="00000000" w:rsidRPr="00000000" w:rsidDel="00000000">
      <w:rPr>
        <w:rtl w:val="0"/>
      </w:rPr>
      <w:t xml:space="preserve">Izdrukāts 29.07.2026. 23.29 - 1.0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anotācija_(ex_ante)_25-TA-2713.docx</dc:title>
</cp:coreProperties>
</file>

<file path=docProps/custom.xml><?xml version="1.0" encoding="utf-8"?>
<Properties xmlns="http://schemas.openxmlformats.org/officeDocument/2006/custom-properties" xmlns:vt="http://schemas.openxmlformats.org/officeDocument/2006/docPropsVTypes"/>
</file>