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2.1.2.2.i. investīcijas projekta "Lauksaimniecības datu centra mākoņdatošanas pakalpojumu attīstība valsts federētā mākoņa ietvaros" pases un centralizētās funkcijas vai koplietošanas pakalpojumu attīstības plāna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Ministru kabineta 2022. gada 14. jūlija noteikumiem Nr. 435 "Eiropas Savienības Atveseļošanas un noturības mehānisma plāna 2. komponentes "Digitālā transformācija" 2.1. reformu un investīciju virziena "Valsts pārvaldes, tai skaitā pašvaldību, digitālā transformācija" īstenošanas noteikumi", ievērojot arī noteikumu 4. pielikumā noteikto investīcijas nolūku "Lauksaimniecības datu centra mākoņdatošanas pakalpojumu attīstība valsts federētā mākoņa ietvaros". Rīkojuma projektu, projekta pasi un pakalpojumu attīstības plānu ir sagatavojusi finansējuma saņēmēja Zemkopības ministrija (turpmāk – ZM).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Vienu no ZM prioritātēm Atveseļošanas un noturības mehānisma plāna 2. komponentes "Digitālā transformācija" 2.1. reformu un investīciju virzienā ir Lauksaimniecības datu centra mākoņdatošanas pakalpojumu integrācija un attīstība valsts nacionālajā federētajā mākonī. Lai sasniegtu šo mērķi, ir plānots īstenot projektu "Lauksaimniecības datu centra mākoņdatošanas pakalpojumu attīstība valsts federētā mākoņa ietvaros" (turpmāk –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reģionālas attīstības ministrija (turpmāk – VARAM) informatīvajā ziņojumā "Par valsts informācijas un komunikācijas tehnoloģiju resursu un kompetenču konsolidāciju" (Ministru kabineta 2021. gada 19. oktobra sēdes protokols Nr.70 34.§; 21-TA-331) norāda, ka pašreizējā situācijā valsts pārvaldes iestādes nepietiekamā apjomā izmanto specializēto  koplietošanas pakalpojumu datu centru sniegtās priekšrocības un esošo institūciju sadarbība notiek tikai vienā vai divās nozarēs ar atsevišķiem klientiem ārpus savas nozares vai sadarbība ir vēl tikai ieceres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elektronisko sakaru pakalpojumu centra un Loģiski vienotā datu centra attīstība, kaut arī palielina informācijas un komunikācijas tehnoloģiju (turpmāk – IKT) infrastruktūras koplietošanas pakalpojumu izmantošanu valsts pārvaldē, tomēr atklāj arī pilnveidojumu iespējas gan pakalpojumu saturā, gan pakalpojumu pārvaldības un finansēšanas modeļos.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valsts pārvaldes IKT infrastruktūras resursu ierobežotību, ir svarīgi, lai skaitļošanas koplietošanas infrastruktūras pakalpojumi būtu savstarpēji sadarbspējīgi, nodrošinot savstarpējas rezervēšanās un dinamiskas skaitļošanas jaudas piesaistes iespējas. Virtualizētas skaitļošanas infrastruktūras tehnoloģijas šādas iespējas var nodrošināt gan virtuālo serveru, gan konteinerizācijas pārvaldības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svarīgi, lai skaitļošanas infrastruktūras koplietošanas pakalpojumu sniedzēji attīstītu savas IKT infrastruktūras, veidojot mākoņdatošanas risinājumus, kas dod automatizētu konteineru pārvaldības iespēju un var efektīvi savstarpēji integrēties valsts datu apstrādes mākoņa infrastruktūrā, nodrošinot augstākas pievienotās vērtības koplietošanas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īsteno reformu valsts IKT pārvaldības jomā, lai paaugstinātu valsts pārvaldes IKT atbalsta efektivitāti un kvalitāti. To plānots panākt, veicinot specializētu IKT koplietošanas pakalpojumu sniedzēju attīstību, kuri sniedz koplietošanas IKT pakalpojumus, un novēršot šķēršļus, kas ierobežo valsts pārvaldes rīcībā esošo IKT resursu un kompetenču efektīvu koplietošanu.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Koncepcija "Valsts informācijas un komunikācijas tehnoloģiju pārvaldības organizatoriskais modelis" daļēji centralizētai valsts IKT pārvaldībai ir noteikta un saskaņota Ministru kabinetā 2013. gadā (Ministru kabineta 2013. gada 19. februāra rīkojums Nr. 57), un turpmākās tehnoloģiju un IKT jomas speciālistu pieejamības tendences ir tikai pastiprinājušas tās konsekventas ieviešanas aktualitāti, ieviešot korekcijas tikai attiecībā uz specializēto IKT koplietošanas pakalpojumu sniedzēju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Reformas nepieciešamību pamato arī Valsts kontroles 2019. gada 21. maija revīzijas ziņojumā Nr. 2.4.1-12/2017 "Vai valsts pārvaldē tiek noteikta vienota IKT infrastruktūras pārvaldība, lai nodrošinātu tās efektīvu izmantošanu?" (publiskošanas datums 07.06.2019., skat. http://www.lrvk.gov.lv/revizija/vai-valsts-parvalde-tiek-noteikta-vienota-ikt-infrastrukturas-parvaldiba-lai-nodrosinatu-tas-efektivu-izmantosanu/) ietvertie konstatētie fakti, kā arī valsts vienotās IKT arhitektūras ieviešanas problēmu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19. oktobra sēdes protokola Nr. 70 34.§ 6.1. apakšpunktu ZM ir izvirzījusi par mērķi attīstīt koplietošanas IKT kompetences datu centru jomā uz Lauksaimniecības datu centra (turpmāk – LDC) bāzes, piedaloties valsts nacionālā federētā mākoņa attīstības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pārvaldes informācijas sistēmas gan infrastruktūras mērogošanā, gan pārvaldības un pieejamības nodrošināšanā neizmanto vai nepietiekamā apjomā izmanto priekšrocības, ko sniedz moderno informācijas sistēmu infrastruktūras arhitektūras konteinerizācijas risinājumi ar piegādes procesu automatizācijas rīkiem.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Pietiekamā apjomā netiek izmantota IKT risinājumu automatizēta uzstādīšanas, laidienu pārvaldības, automatizētas testēšanas un darbības uzraudzības funkcionalitāte, lai gan tas kopumā varētu veidot augstas pievienotās vērtības skaitļošanas infrastruktūras nodrošinājuma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Datu pārraides tīkla infrastruktūras pilnveidošanas nepieciešamība, lai nodrošinātu liela apjoma pieprasījumu un datu pārsūtīšanu starp valsts datu apstrādes mākoņa dalībniekiem un nākotnē arī uz Eiropas mākoņdatošanas infrastruktūru, kā arī citas problēmas, kas aprakstītas informatīvajā ziņojumā "Par valsts informācijas un komunikācijas tehnoloģiju resursu un kompetenču konsolidāciju" (Ministru kabineta 2021. gada 19. oktobra sēdes protokols Nr. 70 34.§).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Eiropas Savienības Atveseļošanas un noturības mehānisma plāna 3. programmas "Valsts pārvaldes IKT infrastruktūras attīstības programma" finansējumu saistībā ar 2.1.2.2.i. investīciju "Latvijas nacionālais federētais mākonis", plānots pilnveidot un attīstīt LDC mākoņdatošanas pakalpojumus dalībai valsts nacionālajā federētajā makonī.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ieviešana veicinās Atveseļošanas un noturības mehānisma plāna mērķrādītāju sasniegšanu.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izdarīta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investīcijas veido 3 108 000 </w:t>
      </w:r>
      <w:r w:rsidR="00000000" w:rsidRPr="00000000" w:rsidDel="00000000">
        <w:rPr>
          <w:i w:val="1"/>
          <w:rtl w:val="0"/>
        </w:rPr>
        <w:t xml:space="preserve">euro</w:t>
      </w:r>
      <w:r w:rsidR="00000000" w:rsidRPr="00000000" w:rsidDel="00000000">
        <w:rPr>
          <w:rtl w:val="0"/>
        </w:rPr>
        <w:t xml:space="preserve"> un indikatīvās uzturēšanas izmaksas gadā pēc projekta beigām – 507 691,80 </w:t>
      </w:r>
      <w:r w:rsidR="00000000" w:rsidRPr="00000000" w:rsidDel="00000000">
        <w:rPr>
          <w:i w:val="1"/>
          <w:rtl w:val="0"/>
        </w:rPr>
        <w:t xml:space="preserve">euro</w:t>
      </w:r>
      <w:r w:rsidR="00000000" w:rsidRPr="00000000" w:rsidDel="00000000">
        <w:rPr>
          <w:rtl w:val="0"/>
        </w:rPr>
        <w:t xml:space="preserve"> ar PVN, kopumā projekta dzīves cikla 13 gadu periodā veidojot 5 076 918,00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Ekonomiskie ieguvumi, kas tiks sasniegti, īstenojot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uzturēšanas izdevumu samazinājums iestāžu informācijas sistēmu izvietošanai datu centrā, izveidojot unificēto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konteinerizācijas risinājuma un tās infrastruktūras pilnveidošana ar piegādes procesu automatizāciju;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datu apstrādes mākonī integrētās LDC datu centru mākoņdatošanas pakalpojumu platformas un pakalpojumu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mākoņdatošanas infrastruktūras efektīvāka izmantošana, tostarp datu pārraides savienojuma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nodrošināšana uz valsts datu apstrādes mākoni un nākotnē ar izeju uz Eiropas mākoņdatošanas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ekonomisko ieguvumu apmērs ir  14 794 711,54 </w:t>
      </w:r>
      <w:r w:rsidR="00000000" w:rsidRPr="00000000" w:rsidDel="00000000">
        <w:rPr>
          <w:i w:val="1"/>
          <w:rtl w:val="0"/>
        </w:rPr>
        <w:t xml:space="preserve">euro</w:t>
      </w:r>
      <w:r w:rsidR="00000000" w:rsidRPr="00000000" w:rsidDel="00000000">
        <w:rPr>
          <w:rtl w:val="0"/>
        </w:rPr>
        <w:t xml:space="preserve">. Indikatīvie ieguvumu un izdevumu analīzes aprēķini visā projekta dzīves ciklā (13 gadi) liecina par projekta stratēģisko un ekonomisko vērtību.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netiks sniegts komercdarbības atbalsts, bet tiks attīstīti LDC informācijas tehnoloģiju risinājumi, tādējādi atbalsta izmantotāji ir finansējuma saņēmējs ZM un projekta partneris LDC. Projekta īstenošanas periodā tiks nodrošināta iekšējās kontroles sistēma, lai netiktu pieļauts interešu konflikts, korupcija un krāpšana, dubultfinansējums, kā arī komercdarbības atbalsts.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sniegts ieguldījums publiskās pārvaldes informācijas un komunikācijas tehnoloģiju attīstības risinājumos, kas atbilst modernas pārvaldes principiem un kas ir būtiski sabiedrībai. IKT infrastruktūras attīstība kopumā rezultējas ar sabiedrībai sniedzamo pakalpojumu un valsts funkciju kvalitātes un efektivitātes pieaugumu.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būs labvēlīga ietekme, jo tiks sniegts ieguldījums publiskās pārvaldes informācijas un komunikācijas tehnoloģiju attīstības risinājumos, kas atbilst modernas pārvaldes principiem un kas ir būtiski sabiedrībai. IKT infrastruktūras attīstība kopumā rezultējas ar sabiedrībai sniedzamo pakalpojumu un valsts funkciju kvalitātes un efektivitātes pieaugumu.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163 600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111 800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304 678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3 122 768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135 278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304 678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3 122 768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197 956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135 278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-541 968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-23 478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tblGridChange w:id="0">
                <w:tblGrid>
                  <w:gridCol w:w="8100"/>
                  <w:gridCol w:w="8100"/>
                  <w:gridCol w:w="8100"/>
                  <w:gridCol w:w="8100"/>
                  <w:gridCol w:w="8100"/>
                  <w:gridCol w:w="8100"/>
                </w:tblGrid>
              </w:tblGridChange>
            </w:tblGrid>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Atveseļošanas un noturības fonda projekta līdzekļu finansējums sadalījumā pa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projektā,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2 580 800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310 8000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Finansējumu pasākuma īstenošanai plānots izmaksāt no budžeta programmas 74.00.00 "Atveseļošanās un noturības mehānisma (ANM) projektu un pasākumu īstenošana" budžeta apakšprogrammas 74.06.00. "Atveseļošanās un noturības mehānisma (ANM) projekti un pasākumi".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100"/>
              <w:gridCol w:w="8100"/>
              <w:gridCol w:w="8100"/>
              <w:gridCol w:w="8100"/>
              <w:gridCol w:w="8100"/>
              <w:gridCol w:w="8100"/>
              <w:tblGridChange w:id="0">
                <w:tblGrid>
                  <w:gridCol w:w="8100"/>
                  <w:gridCol w:w="8100"/>
                  <w:gridCol w:w="8100"/>
                  <w:gridCol w:w="8100"/>
                  <w:gridCol w:w="8100"/>
                  <w:gridCol w:w="8100"/>
                </w:tblGrid>
              </w:tblGridChange>
            </w:tblGrid>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un Pievienotās vērtības nodoklis sadalījumā pa gadiem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projektā,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IKT infrastruktūras papildināšana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1 526 004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1 526 004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Pakalpojumu sagatavošana un izvēršana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1 054 796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163 600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111 800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1 581 996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nodoklis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52 878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541 968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34 356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23 478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652 680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izmaksas projektā tiek segtas no valsts budžeta kā neattiecināmās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nepieciešamo finansējumu ZM normatīvajos aktos noteiktajā kārtībā pieprasīs no valsts pamatbudžeta programmas 80.00.00 "Nesadalītais finansējums Eiropas Savienības politiku instrumentu un pārējās ārvalstu finanšu palīdzības līdzfinansēto projektu un pasākumu īstenošanai".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projektā paredzēto ilgtspējīgo risinājumu darbību pēc projekta termiņa beigām, sākot ar 2027. gadu ir plānojamas izstrādāto risinājumu uzturēšanas izmaksas. Saskaņā ar Vides aizsardzības un reģionālās attīstības ministrijas rekomendācijām, informācijas sistēmu uzturēšanai optimāli paredzēt šādu uzturēšanas izmaksu attiecību pret izstrādes izmaksām: 20% - sistēmām, kas īsteno koplietošanas platformas funkciju,17% - sistēmām ar publisko lietotāju saskarni, 15% - sistēmām ar starpsistēmu integrācijas saskarni, 10% - pārējām sistēmām. Projekta ietvaros ir plānots izstrādāt starpnozaru koplietošanas IKT platfromu, tādēļ plānotās uzturēšanas (turpmākās sistēmu darbināšanas) izmaksas ir 676922,40 </w:t>
      </w:r>
      <w:r w:rsidR="00000000" w:rsidRPr="00000000" w:rsidDel="00000000">
        <w:rPr>
          <w:i w:val="1"/>
          <w:rtl w:val="0"/>
        </w:rPr>
        <w:t xml:space="preserve">euro</w:t>
      </w:r>
      <w:r w:rsidR="00000000" w:rsidRPr="00000000" w:rsidDel="00000000">
        <w:rPr>
          <w:rtl w:val="0"/>
        </w:rPr>
        <w:t xml:space="preserve">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Uzturēšanas izmaksas pabeigta projekta rezultātu uzturēšanai tiks pieprasītas normatīvajos aktos noteiktajā kārtībā. Detalizēts aprēķins uzturēšanas izmaksu segšanai tiks sniegts pieprasīšanas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plānotās uzturēšanas izmaksas nav iespējams nosegt jau pieejamo valsts budžeta līdzekļu ietvaros, kas jau ir piešķirts esošās IKT infrastruktūras uzturēšanai, jo projekta ietvaros attīstāmā IKT infrastruktūra paredzēta Unificētā pakalpojuma nodrošināšanai un  papildinājumi saistās ar jaunām iestādes funkcijām.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regulē Vides aizsardzības un reģionālās attīstības ministrijas saistības ar finansējuma saņēmēju. Šis projekts pēc būtības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datu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Pašlaik Lauksaimniecības datu centrs pilda zemkopības nozares datu centra turētāja un IKT (serveru) resursu turētāja un pārvaldnieka funkcijas.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īstenošana paredz izstrādāt jaunus IKT un datu centru pakalpojumus, kas būs pieejami ārpus resora esošajām valsts pārvaldes iestādēm valsts nacionālajā federētajā mākonī.</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Īstenojot projektu, paredzēts ieviest un nodrošināt mākoņdatošanas pakalpojumu saņemšanas procesa digitalizāciju.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tiks likts pamats valsts un pašvaldību IKT resursu un pakalpojumu konsolidācijai un centralizācijai saskaņā ar VARAM izstrādāto informatīvo ziņojumu "Par valsts informācijas un komunikācijas tehnoloģiju resursu un kompetenču konsolidāciju".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projektu, paredzēts nodrošināt datu rezervēšanas iespējas pie vismaz viena no pārējiem valsts nacionālā federētā mākoņa projekta dalībniekiem.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22-TA-3604</w:t>
    </w:r>
    <w:r>
      <w:br/>
    </w:r>
    <w:r w:rsidR="00000000" w:rsidRPr="00000000" w:rsidDel="00000000">
      <w:rPr>
        <w:rtl w:val="0"/>
      </w:rPr>
      <w:t xml:space="preserve">Izdrukāts 30.07.2026. 00.26 - 3.0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22-TA-3604</w:t>
    </w:r>
    <w:r>
      <w:br/>
    </w:r>
    <w:r w:rsidR="00000000" w:rsidRPr="00000000" w:rsidDel="00000000">
      <w:rPr>
        <w:rtl w:val="0"/>
      </w:rPr>
      <w:t xml:space="preserve">Izdrukāts 30.07.2026. 00.26 - 3.0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anotācija_(ex_ante)_22-TA-3604.docx</dc:title>
</cp:coreProperties>
</file>

<file path=docProps/custom.xml><?xml version="1.0" encoding="utf-8"?>
<Properties xmlns="http://schemas.openxmlformats.org/officeDocument/2006/custom-properties" xmlns:vt="http://schemas.openxmlformats.org/officeDocument/2006/docPropsVTypes"/>
</file>