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4.2.2.1. pasākuma "Kvalitatīvas un mūsdienīgas izglītības īstenošana pirmsskolas, pamata un vidējās izglītības pakāpē" (turpmāk - 4.2.2.1. pasākums) iznākuma un rezultāta rādītāju vērtības atbilstoši Eiropas Savienības kohēzijas politikas programmai 2021.-2027. gadam, precizēt finansējuma aprēķināšanas kārtību projekta sadarbības partneriem un pagarināt projekta īstenošanas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finansējuma aprēķināšanas kārtībā piemērojamas ar 2026./2027. mācību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grozījumus Ministru kabineta 2024. gada 17. decembra noteikumos Nr. 882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 (turpmāk – MK noteikumi par 4.2.2.1.pasākuma īstenošanu), precizējot 5. punktā iznākuma un rezultāta rādītāju vērtības, 14. punktā finansējuma aprēķināšanas kārtību projekta sadarbības partneriem un 40. punktā projekta īstenošanas termiņu, kā arī papildinot MK noteikumus par 4.2.2.1. pasākuma īstenošanu ar pārejas nosacījumu, ka izmaiņas finansējuma aprēķināšanas kārtībā, kas minētas 14. punktā, piemērojamas ar 2026./2027. mācību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par 4.2.2.1. pasākuma īstenošanu 5. punktā ir noteikti 4.2.2.1. pasākuma iznākuma un rezultāta rādītāji - 88 iestādes. 15.12.2025. Eiropas Komisija apstiprināja grozījumus Eiropas Savienības kohēzijas politikas programmā 2021.– 2027. gadam, kur cita starpā tika veikti grozījumi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(turpmāk - 4.2.2.SAM) iznākuma rādītāja EECO18 un rezultāta rādītāja r.4.2.2.a vērtībās. Saskaņā ar 4.2.2.SAM rādītāju metodoloģijas aprakstu 4.2.2.1. pasākums paredzēja rādītāju vērtībās ieskaitīt pašvaldības (43) un valsts izglītības iestādes (45). Kopš Eiropas Savienības kohēzijas politikas programmas 2021.-2027. gadam apstiprināšanas 2021. gadā reformu rezultātā Latvijā faktiski ir 42 pašvaldības un - saskaņā ar Valsts izglītības informācijas sistēmas (turpmāk - VIIS) datiem par izglītības iestāžu pakļautību - 39 valsts izglītības iestādes. Līdz ar to grozījumos ir precizētas 4.2.2.SAM iznākuma rādītāja EECO18 un rezultāta rādītāja r.4.2.2.a kopējās gala vērtības, tās samazinot atbilstoši esošajam pašvaldību un valsts izglītības iestāžu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par 4.2.2.1. pasākuma īstenošanu 14. punktā ir ietverts nosacījums, ka projekta sadarbības partneriem pieejamais finansējuma apmērs norišu īstenošanai tiek aprēķināts, pamatojoties uz VIIS datiem par izglītojamo skaitu iepriekšējā mācību gada 1. oktobrī. Piemērojot MK noteikumu par 4.2.2.1. pasākuma īstenošanu 14. punktā minēto nosacījumu, 2025./2026. mācību gadā, salīdzinot izglītojamo datus 01.10.2024. un 01.10.2025. izglītības iestāžu līmenī netiek nodrošināts faktiskajam izglītojamo skaitam atbilstošs finansējuma sadalījums. No kopējā sadarbības partneru skaita (121) 57 sadarbības partneriem izglītojamo skaits 01.10.2025. ir lielāks nekā 01.10.2024., un attiecīgi ir piešķirts mazāks finansējums. Kopā  57 sadarbības partneriem piešķirtais finansējums neaptver 1625 izglītojamos, un naudas izteiksmē tas veido  iztrūkumu 32 500 EUR apmērā.  Izglītojamo skaita palielinājuma amplitūda šiem sadarbības partneriem ir dažāda - no  1 līdz 257 izglītojamajiem. Savukārt, 64 sadarbības partneriem no 121  izglītojamo skaits 01.10.2025. ir mazāks nekā 01.10.2024., un attiecīgi ir piešķirts lielāks finansējums. Kopā  64 sadarbības partneriem  piešķirtais finansējums  ir par papildu 3171 izglītojamo, un naudas izteiksmē tas veido  papildu finansējumu 64 220 EUR. Sadarbības partneriem, kuriem šajā mācību gadā ir lielāks izglītojamo skaits salīdzinājumā ar iepriekšējā mācību gada 1.oktobri, ir iespējams apmeklēt norises piešķirtā finansējuma  ietvaros, piemēram, izvēloties lētākas  vai bezmaksas norises, ja tādas tiek nodrošinātas. Sadarbības partneri, kuriem šajā mācību gadā ir mazāks izglītojamo skaits salīdzinājumā ar iepriekšējā mācību gada 1.oktobri, ir aicināti apmeklēt papildu norises piešķirtā finansējuma  ietvaros. Taču šāda pieeja nenodrošina vienlīdzīgu pieeju izglītības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par 4.2.2.1. pasākuma īstenošanu 40. punkts noteic, ka projektu īsteno ne ilgāk kā līdz 31.12.2028. Minētais termiņš tika iekļauts, pieņemot, ka projekta darbību īstenošana tiks uzsākta 2025. gada sākumā. Taču faktiski norišu īstenošana tika uzsākta 2025. gada septembrī, t.i., ar 9 mēnešu nobīdi. 4.2.2.1.pasākumam pieejamā finansējuma ietvaros tiek plānots, ka izglītojamie var apmeklēt līdz 4 norisēm mācību gadā. No vairākiem projekta sadarbības partneriem ir saņemta informācija, ka mācību gada laikā nav iespējams veiksmīgi plānot un īstenot 4 norises katram izglītojamajam, un šāds norišu skaits un intensitāte ir par lielu.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šādus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grozījumiem Eiropas Savienības kohēzijas politikas programmā 2021.– 2027. gadam tiek precizētas MK noteikumos par 4.2.2.1.pasākuma īstenošanu minēto sasniedzamo iznākuma un rezultāta rādītāju vērtības no 88 uz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noteic, ka no 2026./2027. mācību gada finansējumu piešķir atbilstoši faktiskajam izglītojamo skaitam sadarbības partneru izglītības iestādēs, ņemot vērā VIIS tekošā mācību gada 1. oktobra datus. Lai nodrošinātu iespēju izglītojamajiem apmeklēt norises ar tekošā mācību gada septembri, finansējuma saņēmējs projektā noteiktā kārtībā sadarbības partneriem var piešķirt daļu finansējuma (piemēram, 50%, pamatojoties uz  VIIS datiem par izglītojamo skaitu iepriekšējā mācību gada 1. oktobrī), bet pēc tekošā mācību gada 1. oktobra – atlikušo finansējuma daļu, balstoties uz VIIS datiem par izglītojamo skaitu tekošā mācību gada 1. oktobrī, nodrošinot godīgu un taisnīgu finansējuma aprēķinu tā, lai katram izglītojamajam būtu pieejams vienlīdzīgs finansējuma apmērs. Pēc šo grozījumu spēkā stāšanās tiks veikts atbilstošs grozījums IZM metodikā “Vienas vienības izmaksu likmes noteikšanas un piemērošanas metodika plašākas mācīšanās pieredzes norišu attiecināmībai 4.2.2.1. pasākumā “Kvalitatīvas un mūsdienīgas izglītības īstenošana pirmsskolas, pamata un vidējās izglītības pakāpē”” (turpmāk - metodika), precizējot tabulā  “4.2.2.1. pasākuma ietvaros atbalstāmo norišu un valsts budžeta programmas ietvaros atbalstāmo norišu salīdzinājums” ietverto informāciju par finansējuma plānošanas principu, t.i., nevis atbilstoši VIIS datiem par izglītojamo skaitu iepriekšējā mācību gada 1. oktobrī, bet atbilstoši VIIS datiem par izglītojamo skaitu tekošā mācību gada 1. oktobrī. Minētais grozījums metodikā neietekmē vienas vienības izmaksu likmes apmēra noteikšanas un metodikas piemērošanas nosacījumus, līdz ar to uzskatāms par tehnisku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īstenošanas termiņu pagarināt līdz 31.08.2029. Pagarinot projekta īstenošanas termiņu, norises tiks nodrošinātas 4 pilnus mācību gadus (2025./2026., 2026./2027., 2027./2028. un 2028./2029.). Izglītības iestādes varēs plānot plašākas mācīšanās pieredzes norises izglītojamajiem mācību satura padziļinātai apguvei vienmērīgākā intensitātē, indikatīvi 2-3 norises mācību gadā. Risinājums piedāvā arī mazināt Valsts kontroles revīzijas 30.01.2026. ziņojumā “Nevienlīdzīgās iespējas pamatizglītībā” (turpmāk – ziņojums) minētos riskus vienlīdzīgu iespēju nodrošināšanā mācību satura kvalitatīvai apguvei. Ziņojumā viens no iemesliem, kāpēc nav notikušas mācību stundas, ir minētas tā sauktās “alternatīvās” dienas -  Zinību diena, Sporta diena, “Latvijas Skolas soma” pasākumi, u.c. (ziņojuma 31.lp.). Lai gan 4.2.2.1.pasākums pēc atsevišķām pazīmēm (tiešo attiecināmo norišu izmaksu veidi, norišu izmaksu aprēķins) ir līdzīgs valsts budžeta programmai “Latvijas Skolas soma”, 4.2.2.1. pasākumam ir atšķirīgs mērķis: “nodrošināt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 (MK noteikumu par 4.2.2.1.pasākuma īstenošanu 3. punkts). Citiem vārdiem, norišu mērķis ir sniegt dažādāku mācīšanās pieredzi - nevis atrauti no mācību satura, bet papildinot to. Vienlaikus dažkārt izglītības iestādēm, jo īpaši gadījumos, kad norises notiek ārpus izglītības iestādes telpām vai izglītības iestādes administratīvās teritorijas, ir jāpārkārto mācību stundu plāns, lai nodrošinātu visu mācību priekšmetu īstenošanu tiem paredzētajā apjomā. Pagarinot projekta īstenošanas termiņu un izlīdzinot paredzamo STEM un pilsoniskās līdzdalības norišu skaitu mācību gadā, izglītības iestādēm tiek nodrošināts vienmērīgāks mācību procesa plānojums visu gan pirmsskolas izglītības vadlīnijās, gan vispārējās izglītības standartos minēto prasību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balstoties uz iesaistīto finansējuma saņēmēja (Valsts izglītības attīstības aģentūras) un sadarbības partneru (pašvaldību un izglītības iestāžu) ieteikumiem.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26-TA-651</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26-TA-651</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anotācija_(ex_ante)_26-TA-651.docx</dc:title>
</cp:coreProperties>
</file>

<file path=docProps/custom.xml><?xml version="1.0" encoding="utf-8"?>
<Properties xmlns="http://schemas.openxmlformats.org/officeDocument/2006/custom-properties" xmlns:vt="http://schemas.openxmlformats.org/officeDocument/2006/docPropsVTypes"/>
</file>