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15. septembra noteikumos Nr. 1065 "Noteikumi par aizdevumiem sīko (mikro), mazo un vidējo saimnieciskās darbības veicēju un lauksaimniecības un mežsaimniecības pakalpojumu kooperatīvo sabiedrību attīstības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2009. gada 15. septembra noteikumos Nr. 1065 "Noteikumi par aizdevumiem sīko (mikro), mazo un vidējo saimnieciskās darbības veicēju un lauksaimniecības un mežsaimniecības pakalpojumu kooperatīvo sabiedrību attīstības veicināšanai"" (turpmāk - Noteikumu projekts) izstrādāts, lai veiktu precizējumus pamatojoties uz 2023. gada 13. decembrī Eiropas Komisija (turpmāk – Komisija) apstiprināto un 2023. gada 15. decembrī Eiropas Savienības Oficiālajā Vēstnesī publicēto jauno </w:t>
      </w:r>
      <w:r w:rsidR="00000000" w:rsidRPr="00000000" w:rsidDel="00000000">
        <w:rPr>
          <w:i w:val="1"/>
          <w:rtl w:val="0"/>
        </w:rPr>
        <w:t xml:space="preserve">de minimis</w:t>
      </w:r>
      <w:r w:rsidR="00000000" w:rsidRPr="00000000" w:rsidDel="00000000">
        <w:rPr>
          <w:rtl w:val="0"/>
        </w:rPr>
        <w:t xml:space="preserve"> atbalsta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ar 2023. gada 31. decembri izbeidz savu darbību un ar 2024. gada 1. janvāri stājas spēkā Komisijas 2023. gada 13. decembra Regula (ES) Nr. 2023/2831 par Līguma par Eiropas Savienības darbību 107. un 108. panta piemērošanu </w:t>
      </w:r>
      <w:r w:rsidR="00000000" w:rsidRPr="00000000" w:rsidDel="00000000">
        <w:rPr>
          <w:i w:val="1"/>
          <w:rtl w:val="0"/>
        </w:rPr>
        <w:t xml:space="preserve">de</w:t>
      </w:r>
      <w:r w:rsidR="00000000" w:rsidRPr="00000000" w:rsidDel="00000000">
        <w:rPr>
          <w:i w:val="1"/>
          <w:rtl w:val="0"/>
        </w:rPr>
        <w:t xml:space="preserve"> minimis</w:t>
      </w:r>
      <w:r w:rsidR="00000000" w:rsidRPr="00000000" w:rsidDel="00000000">
        <w:rPr>
          <w:rtl w:val="0"/>
        </w:rPr>
        <w:t xml:space="preserve"> atbalstam (turpmāk – Komisijas Regula Nr. 2023/2831). Ņemot vērā iepriekš minēto,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ir sagatavots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15. septembra noteikumos Nr. 1065 "Noteikumi par aizdevumiem sīko (mikro), mazo un vidējo saimnieciskās darbības veicēju un lauksaimniecības un mežsaimniecības pakalpojumu kooperatīvo sabiedrību attīstības veicināšanai" (turpmāk - MK noteikumi Nr. 1065) iekļautās normas, kas attiecas uz Komisijas Regulā Nr. 1407/2013 paredzētajiem </w:t>
      </w:r>
      <w:r w:rsidR="00000000" w:rsidRPr="00000000" w:rsidDel="00000000">
        <w:rPr>
          <w:i w:val="1"/>
          <w:rtl w:val="0"/>
        </w:rPr>
        <w:t xml:space="preserve">de minimis</w:t>
      </w:r>
      <w:r w:rsidR="00000000" w:rsidRPr="00000000" w:rsidDel="00000000">
        <w:rPr>
          <w:rtl w:val="0"/>
        </w:rPr>
        <w:t xml:space="preserve"> atbalsta nosacījumiem, ar 2023. gada 31. decembri kļūst neaktuālas, jo Komisijas Regula Nr. 1407/2013 ar 2023. gada 31. decembri vairs nav piemērojama – 2024. gada 1. janvārī stājās spēkā Komisijas Regula Nr. 2023/2831, nepieciešams precizēt de minimis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būtības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līdz ar to Noteikumu projektā ir veikti tehniski precizējumi aizvietojot 2013. gada 18. decembra Komisijas Regulu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uz Komisijas Regula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Papildināts Noteikumu projekts ar III</w:t>
      </w:r>
      <w:r w:rsidR="00000000" w:rsidRPr="00000000" w:rsidDel="00000000">
        <w:rPr>
          <w:vertAlign w:val="superscript"/>
          <w:rtl w:val="0"/>
        </w:rPr>
        <w:t xml:space="preserve">3</w:t>
      </w:r>
      <w:r w:rsidR="00000000" w:rsidRPr="00000000" w:rsidDel="00000000">
        <w:rPr>
          <w:rtl w:val="0"/>
        </w:rPr>
        <w:t xml:space="preserve">, III</w:t>
      </w:r>
      <w:r w:rsidR="00000000" w:rsidRPr="00000000" w:rsidDel="00000000">
        <w:rPr>
          <w:vertAlign w:val="superscript"/>
          <w:rtl w:val="0"/>
        </w:rPr>
        <w:t xml:space="preserve">4</w:t>
      </w:r>
      <w:r w:rsidR="00000000" w:rsidRPr="00000000" w:rsidDel="00000000">
        <w:rPr>
          <w:rtl w:val="0"/>
        </w:rPr>
        <w:t xml:space="preserve"> nodaļām, kurā tiek paredzēts atbalsts energoefektivitātes aizdevumiem nepārsniedzot  1.3.1.2. aktivitātē noteikto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Papildināts Noteikumu projektu, paredzot atbalsta sniegšanu energoefektivitātes paaugstināšanai un pārejai uz atjaunojamiem energoresursiem arī ar Komisijas Regulu Nr. 2022/2472.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svītrots Noteikumu projekta 37.</w:t>
      </w:r>
      <w:r w:rsidR="00000000" w:rsidRPr="00000000" w:rsidDel="00000000">
        <w:rPr>
          <w:vertAlign w:val="superscript"/>
          <w:rtl w:val="0"/>
        </w:rPr>
        <w:t xml:space="preserve">8</w:t>
      </w:r>
      <w:r w:rsidR="00000000" w:rsidRPr="00000000" w:rsidDel="00000000">
        <w:rPr>
          <w:rtl w:val="0"/>
        </w:rPr>
        <w:t xml:space="preserve"> punkts, jo 1.2.3.5. pasākumam piemērojamās interešu konflikta prasības jau tiek regulētas Ministru kabineta 2023. gada 5. septembra noteikumos Nr. 510 "Eiropas Savienības kohēzijas politikas programmas 2021. –2027. gadam finanšu instrumentu kopīgie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prasības attiecas uz Altum kā uz finansējuma saņēmēju.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tiešā veidā ietekmēs gala labuma guvējus, jo tiem būs de minimis sistēmā jāuzskaita saņemtais de minimis atbalsts 3 gadu slīdošā periodā.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de minimis atbalsta kopsumma vienam vienotam uzņēmumam ir palielinājusies līdz 300 000 </w:t>
      </w:r>
      <w:r w:rsidR="00000000" w:rsidRPr="00000000" w:rsidDel="00000000">
        <w:rPr>
          <w:i w:val="1"/>
          <w:rtl w:val="0"/>
        </w:rPr>
        <w:t xml:space="preserve">euro</w:t>
      </w:r>
      <w:r w:rsidR="00000000" w:rsidRPr="00000000" w:rsidDel="00000000">
        <w:rPr>
          <w:rtl w:val="0"/>
        </w:rPr>
        <w:t xml:space="preserve">, kas radīs ietekmi komersantiem, nodrošinot iespēju saņemt garantijas. Atbalstu varēs saņemt arī tie komersanti, kas iepriekš kvalificējās zem Komisijas Regulas Nr. 1407/2013 (atbalsta kopsumma 200 000 </w:t>
      </w:r>
      <w:r w:rsidR="00000000" w:rsidRPr="00000000" w:rsidDel="00000000">
        <w:rPr>
          <w:i w:val="1"/>
          <w:rtl w:val="0"/>
        </w:rPr>
        <w:t xml:space="preserve">euro</w:t>
      </w:r>
      <w:r w:rsidR="00000000" w:rsidRPr="00000000" w:rsidDel="00000000">
        <w:rPr>
          <w:rtl w:val="0"/>
        </w:rPr>
        <w:t xml:space="preserve">) nepārsniedzot trīs gadu periodā viena vienam vienotam uzņēmumam 300 000 euro.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17.jūnija Regula (ES)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32022R2472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2022/2472 (2022. gada 14. decembris), ar kuru, piemērojot Līguma par Eiropas Savienības darbību 107. un 108. pantu, dažu kategoriju atbalstu lauksaimniecības un mežsaimniecības nozarē un lauku apvidos atzīst par saderīgu ar iekšējo tirgu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32014R0717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717/2014 (2014. gada 27. jūnijs) par Līguma par Eiropas Savienības darbību 107. un 108. panta piemērošanu de minimis atbalstam zvejniecības un akvakultūras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7. panta 3. punkts un 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10.5., 14.1., 30.</w:t>
            </w:r>
            <w:r w:rsidR="00000000" w:rsidRPr="00000000" w:rsidDel="00000000">
              <w:rPr>
                <w:sz w:val="24"/>
                <w:vertAlign w:val="superscript"/>
                <w:rtl w:val="0"/>
              </w:rPr>
              <w:t xml:space="preserve">16</w:t>
            </w:r>
            <w:r w:rsidR="00000000" w:rsidRPr="00000000" w:rsidDel="00000000">
              <w:rPr>
                <w:sz w:val="24"/>
                <w:rtl w:val="0"/>
              </w:rPr>
              <w:t xml:space="preserve">1., 30.</w:t>
            </w:r>
            <w:r w:rsidR="00000000" w:rsidRPr="00000000" w:rsidDel="00000000">
              <w:rPr>
                <w:sz w:val="24"/>
                <w:vertAlign w:val="superscript"/>
                <w:rtl w:val="0"/>
              </w:rPr>
              <w:t xml:space="preserve">2</w:t>
            </w:r>
            <w:r w:rsidR="00000000" w:rsidRPr="00000000" w:rsidDel="00000000">
              <w:rPr>
                <w:sz w:val="24"/>
                <w:rtl w:val="0"/>
              </w:rPr>
              <w:t xml:space="preserve">1., 30.</w:t>
            </w:r>
            <w:r w:rsidR="00000000" w:rsidRPr="00000000" w:rsidDel="00000000">
              <w:rPr>
                <w:sz w:val="24"/>
                <w:vertAlign w:val="superscript"/>
                <w:rtl w:val="0"/>
              </w:rPr>
              <w:t xml:space="preserve">26</w:t>
            </w:r>
            <w:r w:rsidR="00000000" w:rsidRPr="00000000" w:rsidDel="00000000">
              <w:rPr>
                <w:sz w:val="24"/>
                <w:rtl w:val="0"/>
              </w:rPr>
              <w:t xml:space="preserve">1., 30.</w:t>
            </w:r>
            <w:r w:rsidR="00000000" w:rsidRPr="00000000" w:rsidDel="00000000">
              <w:rPr>
                <w:sz w:val="24"/>
                <w:vertAlign w:val="superscript"/>
                <w:rtl w:val="0"/>
              </w:rPr>
              <w:t xml:space="preserve">38</w:t>
            </w:r>
            <w:r w:rsidR="00000000" w:rsidRPr="00000000" w:rsidDel="00000000">
              <w:rPr>
                <w:sz w:val="24"/>
                <w:rtl w:val="0"/>
              </w:rPr>
              <w:t xml:space="preserve">1.  apakšpunkts un 21., 21.</w:t>
            </w:r>
            <w:r w:rsidR="00000000" w:rsidRPr="00000000" w:rsidDel="00000000">
              <w:rPr>
                <w:sz w:val="24"/>
                <w:vertAlign w:val="superscript"/>
                <w:rtl w:val="0"/>
              </w:rPr>
              <w:t xml:space="preserve">2</w:t>
            </w:r>
            <w:r w:rsidR="00000000" w:rsidRPr="00000000" w:rsidDel="00000000">
              <w:rPr>
                <w:sz w:val="24"/>
                <w:rtl w:val="0"/>
              </w:rPr>
              <w:t xml:space="preserve">, 30.</w:t>
            </w:r>
            <w:r w:rsidR="00000000" w:rsidRPr="00000000" w:rsidDel="00000000">
              <w:rPr>
                <w:sz w:val="24"/>
                <w:vertAlign w:val="superscript"/>
                <w:rtl w:val="0"/>
              </w:rPr>
              <w:t xml:space="preserve">17</w:t>
            </w:r>
            <w:r w:rsidR="00000000" w:rsidRPr="00000000" w:rsidDel="00000000">
              <w:rPr>
                <w:sz w:val="24"/>
                <w:rtl w:val="0"/>
              </w:rPr>
              <w:t xml:space="preserve">, 37.</w:t>
            </w:r>
            <w:r w:rsidR="00000000" w:rsidRPr="00000000" w:rsidDel="00000000">
              <w:rPr>
                <w:sz w:val="24"/>
                <w:vertAlign w:val="superscript"/>
                <w:rtl w:val="0"/>
              </w:rPr>
              <w:t xml:space="preserve">2</w:t>
            </w:r>
            <w:r w:rsidR="00000000" w:rsidRPr="00000000" w:rsidDel="00000000">
              <w:rPr>
                <w:sz w:val="24"/>
                <w:rtl w:val="0"/>
              </w:rPr>
              <w:t xml:space="preserve">, 37.</w:t>
            </w:r>
            <w:r w:rsidR="00000000" w:rsidRPr="00000000" w:rsidDel="00000000">
              <w:rPr>
                <w:sz w:val="24"/>
                <w:vertAlign w:val="superscript"/>
                <w:rtl w:val="0"/>
              </w:rPr>
              <w:t xml:space="preserve">5</w:t>
            </w:r>
            <w:r w:rsidR="00000000" w:rsidRPr="00000000" w:rsidDel="00000000">
              <w:rPr>
                <w:sz w:val="24"/>
                <w:rtl w:val="0"/>
              </w:rPr>
              <w:t xml:space="preserve">, 38.,</w:t>
            </w:r>
            <w:r w:rsidR="00000000" w:rsidRPr="00000000" w:rsidDel="00000000">
              <w:rPr>
                <w:sz w:val="24"/>
                <w:b w:val="1"/>
                <w:rtl w:val="0"/>
              </w:rPr>
              <w:t xml:space="preserve"> </w:t>
            </w:r>
            <w:r w:rsidR="00000000" w:rsidRPr="00000000" w:rsidDel="00000000">
              <w:rPr>
                <w:sz w:val="24"/>
                <w:rtl w:val="0"/>
              </w:rPr>
              <w:t xml:space="preserve">50.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4.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21.</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29.1., 30.</w:t>
            </w:r>
            <w:r w:rsidR="00000000" w:rsidRPr="00000000" w:rsidDel="00000000">
              <w:rPr>
                <w:sz w:val="24"/>
                <w:vertAlign w:val="superscript"/>
                <w:rtl w:val="0"/>
              </w:rPr>
              <w:t xml:space="preserve">9</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9</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16</w:t>
            </w:r>
            <w:r w:rsidR="00000000" w:rsidRPr="00000000" w:rsidDel="00000000">
              <w:rPr>
                <w:sz w:val="24"/>
                <w:rtl w:val="0"/>
              </w:rPr>
              <w:t xml:space="preserve">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25 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33</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48</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31.</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panta 1. punkta "a", "b" vai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37.</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42.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17.jūnija Regula (ES)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14., 38., 38.a vai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 9.,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8</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12.</w:t>
            </w:r>
            <w:r w:rsidR="00000000" w:rsidRPr="00000000" w:rsidDel="00000000">
              <w:rPr>
                <w:sz w:val="24"/>
                <w:vertAlign w:val="superscript"/>
                <w:rtl w:val="0"/>
              </w:rPr>
              <w:t xml:space="preserve">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13. un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9</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6. punkts, 38.a panta 2.,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26</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38.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6. punkts, 38. panta 2., 2.a un 2.b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38.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33</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38</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6. punkts, 41.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38.a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41. panta 2. un 3.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44</w:t>
            </w:r>
            <w:r w:rsidR="00000000" w:rsidRPr="00000000" w:rsidDel="00000000">
              <w:rPr>
                <w:sz w:val="24"/>
                <w:rtl w:val="0"/>
              </w:rPr>
              <w:t xml:space="preserve">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41. panta 1.a, 2., 3., 4., 4.a 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45</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41. 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46</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31.</w:t>
            </w:r>
            <w:r w:rsidR="00000000" w:rsidRPr="00000000" w:rsidDel="00000000">
              <w:rPr>
                <w:sz w:val="24"/>
                <w:vertAlign w:val="superscript"/>
                <w:rtl w:val="0"/>
              </w:rPr>
              <w:t xml:space="preserve">1</w:t>
            </w:r>
            <w:r w:rsidR="00000000" w:rsidRPr="00000000" w:rsidDel="00000000">
              <w:rPr>
                <w:sz w:val="24"/>
                <w:rtl w:val="0"/>
              </w:rPr>
              <w:t xml:space="preserve">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2022/2472 (2022. gada 14. decembris), ar kuru, piemērojot Līguma par Eiropas Savienības darbību 107. un 108. pantu, dažu kategoriju atbalstu lauksaimniecības un mežsaimniecības nozarē un lauku apvidos atzīst par saderīgu ar iekšējo tirgu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2. panta 59.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10.3.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9</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3., 4., 5., 6. un 7. punkts un 14. panta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14 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26</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3., 4., 5., 6. un 7. punkts un 14. panta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28</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33</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37</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3., 4., 5., 6. un 7. punkts un 14. panta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40</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44</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14.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2022/2472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52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(2013. gada 18. decembris)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33</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48</w:t>
            </w:r>
            <w:r w:rsidR="00000000" w:rsidRPr="00000000" w:rsidDel="00000000">
              <w:rPr>
                <w:sz w:val="24"/>
                <w:rtl w:val="0"/>
              </w:rPr>
              <w:t xml:space="preserve">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1408/2023 3. panta 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717/2014 (2014. gada 27. jūnijs) par Līguma par Eiropas Savienības darbību 107. un 108. panta piemērošanu de minimis atbalstam zvejniecības un akvakultūras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19.</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9</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10</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27</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33</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39</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30.</w:t>
            </w:r>
            <w:r w:rsidR="00000000" w:rsidRPr="00000000" w:rsidDel="00000000">
              <w:rPr>
                <w:sz w:val="24"/>
                <w:vertAlign w:val="superscript"/>
                <w:rtl w:val="0"/>
              </w:rPr>
              <w:t xml:space="preserve">48</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717/2014 3. panta 2.a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34.1.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norādīti pēc publiskās apspriedes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24-TA-155</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anotācija_(ex_ante)_24-TA-155.docx</dc:title>
</cp:coreProperties>
</file>

<file path=docProps/custom.xml><?xml version="1.0" encoding="utf-8"?>
<Properties xmlns="http://schemas.openxmlformats.org/officeDocument/2006/custom-properties" xmlns:vt="http://schemas.openxmlformats.org/officeDocument/2006/docPropsVTypes"/>
</file>