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Aizsardzības ministrija īsteno projektu konkursus militāru vai divējāda lietojuma produktu attīstības atbalstam"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MK noteikumu projekts nosaka tiesisko regulējumu, daļēji pārņemot Ministru kabineta 2021. gada 17. augusta noteikumu Nr. 548 "Kārtība, kādā Aizsardzības ministrija īsteno projektu konkursus militāru vai divējāda lietojuma produktu attīstības atbalstam” (turpmāk – MK noteikumi), kas bija spēkā līdz 2024. gada 24. aprīli, normas, kā arī ievieš papildus izmaiņas regulējumā, ievērojot Aizsardzības ministrijas administrētā grantu konkursa līdzšinējās darbības ietvaros gūtos secinājumus. Tāpat ņemts vērā, ka ar 2024. gada 1. janvāri ir stājusies spēkā jaunā Eiropas Komisijas Regula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2023/2831) un grantu projektu atlasēm, kuras tiek izsludinātas pēc 2024. gada 30. jūnija (sešus mēnešus pēc Eiropas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spēkā esības perioda beigām), piemērojami Komisijas Regulas 2023/2831 atbalsta nosacījumi. Komisijas regulas Nr.2023/2831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 piemēram, ja jaunā atbalsta piešķiršanas datums ir 2024. gada 18. jūnijs, trīs gadu periods būs skaitāms līdz 2021. gada 18.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tiesisko regulējumu, kas aizstātu spēku zaudējušos MK noteikumus, paredzot tajā izmaiņas atbilstoši Komisijas Regulas 2023/2831 nosacījumiem, kā arī papildus ieviešot citas nepieciešamās normas tiesiskajā regulējumā (skat. sadaļu 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17.08.2021.</w:t>
      </w:r>
      <w:r w:rsidR="00000000" w:rsidRPr="00000000" w:rsidDel="00000000">
        <w:rPr>
          <w:rtl w:val="0"/>
        </w:rPr>
        <w:t xml:space="preserve"> </w:t>
      </w:r>
      <w:r w:rsidR="00000000" w:rsidRPr="00000000" w:rsidDel="00000000">
        <w:rPr>
          <w:rtl w:val="0"/>
        </w:rPr>
        <w:t xml:space="preserve">Ministru kabineta noteikumu</w:t>
      </w:r>
      <w:r w:rsidR="00000000" w:rsidRPr="00000000" w:rsidDel="00000000">
        <w:rPr>
          <w:rtl w:val="0"/>
        </w:rPr>
        <w:t xml:space="preserve"> Nr. 548 "Kārtība, kādā Aizsardzības ministrija īsteno projektu konkursus militāru vai divējādu lietojuma produktu attīstības 43. punkts noteica, ka tie ir spēkā līdz 2024. gada 30. jūnijam. Tāpēc nepieciešams izstrādāt un apstiprināt jaunus MK noteikumus, kas nosaka kārtību, kādā </w:t>
      </w:r>
      <w:r w:rsidR="00000000" w:rsidRPr="00000000" w:rsidDel="00000000">
        <w:rPr>
          <w:rtl w:val="0"/>
        </w:rPr>
        <w:t xml:space="preserve">Aizsardzības ministrija īsteno (grantu) projektu konkursus militāru vai divējāda lietojuma produktu attīstības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izsludinātu jaunas Aizsardzības ministrijas grantu projektu iesniegumu atlases pēc 2024. gada 24. aprīļa, kad 17.08.2021. Ministru kabineta noteikumi Nr. 548 zaudēja spēku ir nepieciešams jauns regulējums, kas atbilst Komisijas Regulas 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identificēta nepieciešamība līdzšinējā regulējumā veikt arī citas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17. augusta noteikumi Nr. 548 "Kārtība, kādā Aizsardzības ministrija īsteno projektu konkursus militāru vai divējāda lietojuma produktu attīstības atbalstam" noteica vienādu vērtēšanas sistēmu visiem grantu uzsaukuma konkursiem, taču Aizsardzības ministrija ir identificējusi nepieciešamību dažādot grantu projektu iesniegumu atlases, kādai projektu atlasei nosakot konkrētākas un specifiskākas prasības, kas iziet no Nacionālo bruņoto spēku aktuālajām vajadzībām (piemēram, grantu projekti, kas būtu tikai par bezpilota lidaparātu izstrādi vai konkrētu problēmu risināšanu), citas paturot atvērtas dažāda veida inovāciju projektiem (kā tas ir bijis līdz šim).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industrijas likuma (Industrijas likums)  5.panta otrās daļas 2.puntkam, Aizsardzības ministrija noturīgas aizsardzības industriālās un tehnoloģiskās bāzes attīstības atbalsta nodrošināšanai var ieviest, organizēt, finansēt un atbalstīt "2) militāra vai divējāda lietojuma tehnoloģiju un produktu pētniecības un izstrādes atbalsta programmas un fondus". Proti, Industrijas likuma ietvaros ir bijis paredzēts, ka Aizsardzības ministrija organizēs grantu projektu konkursus militāru vai divējāda lietojuma produktu attīstības atbalstam. Tādējādi tiek īstenots valsts atbalsts, tiek radīta ekonomiska priekšrocība un uzņēmumā tiek ieguldīti publiski līdzekļi. Līdz ar to, Aizsardzības ministrija šajos MK noteikumos vēlas atrunāt atlases kritējus, kuri var saņemt šo valsts atbalstu. Attiecīgi, šo noteikumu III.nodaļā ir uzskaitīt projekta iesniedzējam noteiktās prasības. Papildus tam, nosakot šīs prasības Aizsardzības ministrija nodrošinās, ka komersantam būtu finansiālās spējas īstenot projektu, izpildīt no savas puses finansiālās saistības un izlietot piešķirto atbalst atbilstoši mērķim. </w:t>
      </w:r>
      <w:r w:rsidR="00000000" w:rsidRPr="00000000" w:rsidDel="00000000">
        <w:rPr>
          <w:rtl w:val="0"/>
        </w:rPr>
        <w:t xml:space="preserve">MK noteikumu V sadaļā “Atbalsta administrēšana un kontrole” ir noteiktas prasības attiecībā uz projektu pārbaudi reizi atbalsta periodā, taču līdzšinējā prakse pierāda, ka uzņēmums tiek jau rūpīgi izvērtēts, piesakoties atbalsta saņemšanai (18. punkts). Papildus tam, daudzos gadījumos projekta īstenotājs paralēli projekta īstenošanai vai pēc tās iesniedz arī dokumentus speciālās atļaujas (licences) saņemšanai komercdarbībai ar Eiropas Savienības Kopējā militāro preču sarakstā minētajām precēm.</w:t>
      </w:r>
      <w:r w:rsidR="00000000" w:rsidRPr="00000000" w:rsidDel="00000000">
        <w:rPr>
          <w:rtl w:val="0"/>
        </w:rPr>
        <w:t xml:space="preserve">Aizsardzības ministrija ir identificējusi, ka atsevišķos, finansiāli ietilpīgākos projektos, iespējams, ir jānosaka arī pēcuzraudzības prasības finansējuma saņēmējiem (lielākoties tās būtu saistītas ar to, ja projektā pēc projekta īstenošanas būtu notikušas būtiskas izmaiņas, piemēram - ir pārtraukta granta projekta īstenotāja darbība, t.i., granta projekta īstenotājs tiek likvidēts, apvienots, pārveidots vai sadalīts, un citas izmaiņas, kas ietekmē arī granta projektu). Taču līdzšinējais noteikumu regulējums šādas situācijas nav paredzējis.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izsludināt jaunas Aizsardzības ministrijas grantu projektu iesniegumu atlases pēc 2024. gada 24. aprīļa, kad spēku zaudēja Ministru kabineta 2021. gada 17. augusta noteikumi Nr. 548, nepieciešams ieviest jaunu regulējumu atbilstoši Komisijas Regulas 2023/2831 nosacījumiem. Papildus tam, jaunajā MK noteikumu projektā iekļautas arī vairākas citas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projektu izvērtēšanai Aizsardzības ministrijā tiks izveidota Industrijas atbalsta komisija (11.punkts), kas administrēs atbalsta piešķiršanu un uzraudzību. Komisijas sastāvā būs vismaz četri locekļi. Komisijas sastāvā iekļaus Aizsardzības ministrijas pārstāvju, Ekonomikas ministrijas pārstāvi un Latvijas Investīciju un attīstības aģentūras pārstāvi. Tāpat minētās komisijas darbā varēs pieaicināt neatkarīgus ekspertus. Tā kā Aizsardzības ministrijas grantu programma ir papildinoša jau esošajam Ekonomikas ministrijas instrumentu klāstam, tad Industrijas atbalsta komisijā Ekonomikas ministrijas un Investīciju un attīstības aģentūras pārstāvji tiek iekļauti lai nodrošinātu vienotu pieeju grantu projektu izvērtēšanā, piešķiršanā un uzraudzībā. Mērķis ir nodrošināt, lai atbalsta programmas nedubultotos, bet nepieciešamības gadījumā būtu papildinošas jau esošajiem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dažādotu grantu projektu iesniegumu atlases, pielāgojot tās aktuālajām Nacionālo bruņoto spēku vajadzībām, grantu vērtēšanas kritēriji tiek noteikti, izstrādājot konkursa nolikumu (nevis iekļaujot tos Ministru kabineta noteikumos kā līdz šim). Savukārt noteikumos definēts konkursa nolikuma tvērums, nosakot jau konkrētas sadaļas, ko jāsatur konkursa nolikumam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V sadaļā “Atbalsta administrēšana un kontrole” svītrotas atbilstības pārbaudes. Vienlaikus V sadaļā ir jauns punkts (36. punkts), kas paredz, ka atbalsta saņēmējam var paredzēt pēcuzraudzības nosacījumus, ja komisija pieņem šādu lēmumu un attiecīgie nosacījumi iekļauti granta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dažādām interpretācijām, precizēts noteikumu 18.7. punkts, nosakot, ka nodokļu parādi tiek vērtēti uz dienu, kad tiek iesniegts projekta pieteikums. Papildus svītrota piebilde par nodokļu parādiem valdes vai padomes locekļiem, pārstāvēttiesīgajām personām vai prokūristiem, ņemot vērā, ka nodokļu parādi tiek pārbaudīti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iepriekš MK noteikumos minētā prasība, ka pieteiktajam projektam jābūt ar skaidri identificējamu eksporta potenciālu, ņemot vērā to, ka eksporta potenciāls ir sarežģīti izmērāms un apliecināms.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jaunā Aizsardzības industrijas likuma spēkā stāšanos tiek precizēts šo noteikumu izdošanas tiesiskais pamats un attiecīgi papildināts MK noteikumu projekta 2. punkts par noteikumos lietotajiem terminiem (aizsardzības industrija).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18.8. apakšpunktos aprakstītie noziedzīgie nodarījumi atbilst sekojošiem Krimināllikuma pantiem: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 (Krimināllikuma 89.</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neatļauta piedalīšanās mantiskos darījumos, neatļauta labumu pieņemšana, komerciāla uzpirkšana, prettiesiska labuma pieprasīšana, pieņemšana un došana, tirgošanās ar ietekmi; (Krimināllikuma: 198.pants, 199.pants, 320.pants, 321.pants, 323.pants, 326.pants, 326.</w:t>
      </w:r>
      <w:r w:rsidR="00000000" w:rsidRPr="00000000" w:rsidDel="00000000">
        <w:rPr>
          <w:vertAlign w:val="superscript"/>
          <w:rtl w:val="0"/>
        </w:rPr>
        <w:t xml:space="preserve">1</w:t>
      </w:r>
      <w:r w:rsidR="00000000" w:rsidRPr="00000000" w:rsidDel="00000000">
        <w:rPr>
          <w:rtl w:val="0"/>
        </w:rPr>
        <w:t xml:space="preserve">.pants, un 326.</w:t>
      </w:r>
      <w:r w:rsidR="00000000" w:rsidRPr="00000000" w:rsidDel="00000000">
        <w:rPr>
          <w:vertAlign w:val="superscript"/>
          <w:rtl w:val="0"/>
        </w:rPr>
        <w:t xml:space="preserve">2</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 (Krimināllikuma 195.pants)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 (Krimināllikuma: 79.</w:t>
      </w:r>
      <w:r w:rsidR="00000000" w:rsidRPr="00000000" w:rsidDel="00000000">
        <w:rPr>
          <w:vertAlign w:val="superscript"/>
          <w:rtl w:val="0"/>
        </w:rPr>
        <w:t xml:space="preserve">1</w:t>
      </w:r>
      <w:r w:rsidR="00000000" w:rsidRPr="00000000" w:rsidDel="00000000">
        <w:rPr>
          <w:rtl w:val="0"/>
        </w:rPr>
        <w:t xml:space="preserve">. pants, 79.</w:t>
      </w:r>
      <w:r w:rsidR="00000000" w:rsidRPr="00000000" w:rsidDel="00000000">
        <w:rPr>
          <w:vertAlign w:val="superscript"/>
          <w:rtl w:val="0"/>
        </w:rPr>
        <w:t xml:space="preserve">2</w:t>
      </w:r>
      <w:r w:rsidR="00000000" w:rsidRPr="00000000" w:rsidDel="00000000">
        <w:rPr>
          <w:rtl w:val="0"/>
        </w:rPr>
        <w:t xml:space="preserve">. pants, 79.</w:t>
      </w:r>
      <w:r w:rsidR="00000000" w:rsidRPr="00000000" w:rsidDel="00000000">
        <w:rPr>
          <w:vertAlign w:val="superscript"/>
          <w:rtl w:val="0"/>
        </w:rPr>
        <w:t xml:space="preserve">4</w:t>
      </w:r>
      <w:r w:rsidR="00000000" w:rsidRPr="00000000" w:rsidDel="00000000">
        <w:rPr>
          <w:rtl w:val="0"/>
        </w:rPr>
        <w:t xml:space="preserve">. pants un 79,</w:t>
      </w:r>
      <w:r w:rsidR="00000000" w:rsidRPr="00000000" w:rsidDel="00000000">
        <w:rPr>
          <w:vertAlign w:val="superscript"/>
          <w:rtl w:val="0"/>
        </w:rPr>
        <w:t xml:space="preserve">6</w:t>
      </w:r>
      <w:r w:rsidR="00000000" w:rsidRPr="00000000" w:rsidDel="00000000">
        <w:rPr>
          <w:rtl w:val="0"/>
        </w:rPr>
        <w:t xml:space="preserve">.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 (Krimināllikuma 154.</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atbalsta demarkācija ar 1.2.3.1.  pasākumu. "Atbalsts MVU inovatīvas uzņēmējdarbības attīstībai" un 5.1.1.2.i. investīciju “Atbalsta instruments pētniecībai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precizēta Aizsardzības ministrijas lēmuma pieņemšana par grantu piešķiršanu un noteikts pats granta piešķiršanas brīdis. Pēc AM lēmuma par atbalsta piešķiršanu tiek saskaņots un slēgts granta līgums, kas var aizņemt daudz laika, bet ir gadījumi kad atbalstu ieguvuši uzņēmumi no piešķirtā finansējuma vispār atsakās. Lai noteiktu precīzu kārtību, noteikumi paredz par atbalsta piešķiršanas brīdi noteikt granta līguma parakstīšanas dienu.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valsts sekretāra lēmums var tikt apstrīdēts vai pārsūdzēts Administratīvā procesa likumā noteiktajā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ministriju  ir pārrunāti tās rīcībā esošie atbalsta risinājumi divējāda lietojuma produktu izstrādes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jau pieejamos risinājumus ir panākta savstarpēja izpratne, ka Aizsardzības ministrijas grantu programma ir papildinoša jau esošajam Ekonomikas ministrijas instrumentu klāstam.  Aizsardzības ministrijas grantu programmai ir specializēts raksturs ar mērķi sekmēt  aizsardzības nozarei aktuālu jaunu tehnoloģiju radīšanu -  gan duālu, gan militāru -  ar potenciālu pielietojumu militārajām vajadzībām. Atšķirībā no citiem instrumentiem programma ir balstīta uz ikgadējo konkursa uzsaukumu pieejamību, nozares ekspertīzes piesaisti projektu vērtēšanas un pēcuzraudzības posmā, kā arī . tās īstenošana tik veikta saskaņā ar  Vadlīnijās aizsardzības un drošības industrijas iesaistei aizsardzības spēju stiprināšanā 2025.- 2028. gadam noteiktajām aizsardzības inovāciju prioritātēm. Programma tiks pārvaldīta, mērķtiecīgi stiprinot Latvijas drošības un aizsardzības industriālo un tehnoloģisko bāzi un tās inovētspēju, novēršot dublēšanos ar citiem nacionāli pieejamiem valsts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projektam var pieteikies mazie un vidējie uzņēmumi, atbilstoši šo noteikumu 2.5. punktam. Tā pat, projekta īstenošanai var tikt iesaistīta pētniecības iestāde.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 piegāžu drošību, papildus investīcijas vietējai uzņēmējdarbībai, sekmēs jaunu tehnoloģiju apgūšana, kā arī attīstīs jaunas aizsardzības industrijas mazo un vidējo uzņēmumu ražosānas un konkurētspējas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projekta izpilde 2024. gadā tiks nodrošināta Aizsardzības ministrijai piešķirto valsts  budžeta līdzekļu ietvaros 1 200 00 euro apmērā no budžeta apakšprogrammas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Militāra vai divējāda pielietojuma produktu atbalsts 2025. un 2026. gadā 600 000 euro apmērā ik gadu tiks īstenots Aizsardzības ministrijai piešķirto budžeta līdzekļu ietvaros no budžeta apakšprogrammas 22.12.00 “Nacionālo bruņoto spēku uzturēšana”.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plānots.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 vai divējāda pielietojuma produktu atbalsts 2024. gadā tiks finansēts no Aizsardzības ministrijas budžeta apakšprogrammā 22.12.00 “Nacionālo bruņoto spēku uzturēšana” plānotajiem līdzekļiem grantiem 1 200 000 euro apmērā. Militāra vai divējāda pielietojuma produktu atbalsts  2025. un 2026. gadā 600 000 euro apmērā ik gadu tiks īstenots Aizsardzības ministrijai piešķirto budžeta līdzekļu ietvaros no budžeta apakšprogrammas 22.12.00 “Nacionālo bruņoto spēku uzturēšana”. Atbalstāmo projektu daudzums un pieejamā finansiālā atbalsta sadalījums atkarīgs no kopējā iesniegto projektu daudzuma un pieprasītā finansiālā atbalsta.                                                    Industrijas atbalsta komisijas darbība tiks nodrošināta Aizsardzības ministrijas resorā esošo amata vietu un atlīdzībai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 Eiropas komisija, Nr.2023/2831, Regula,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izstrādāti ievērojot Regulā noteiktās prasības.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13.12.2023, Eiropas komisija, Nr.2023/2831, Regula,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 - viena vienota uzņēmuma termina definēšanai norādīta atsauce uz Regulu.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 Likta atsauce uz Regulu, norādot, kuru nozaru pārstāvji var pieteikties uz atbalsta saņemšanu.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 darbības izslēgtajās nozarēs negūst labumu no de minimis atbalsta, ko piešķir saskaņā ar šiem noteikumiem.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un 8. punkts - jāpārbauda vai netiek pārsniegts Regulā noteiktais maksimālais de minimis atbalsta apmērs viena vienota uzņēmuma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6.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 -  de minimis atbalstu glabā 10 gadus, skaitot no atbalsta piešķiršanas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6.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 - par informācijas sniegšanu komisijai.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2023/2831 7.panta 3. un 8.punktu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 minimis atbalstu var piešķirt līdz 2031.gada 30.jūnijam.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24-TA-1377</w:t>
    </w:r>
    <w:r>
      <w:br/>
    </w:r>
    <w:r w:rsidR="00000000" w:rsidRPr="00000000" w:rsidDel="00000000">
      <w:rPr>
        <w:rtl w:val="0"/>
      </w:rPr>
      <w:t xml:space="preserve">Izdrukāts 29.07.2026. 23.34 - 6.0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24-TA-1377</w:t>
    </w:r>
    <w:r>
      <w:br/>
    </w:r>
    <w:r w:rsidR="00000000" w:rsidRPr="00000000" w:rsidDel="00000000">
      <w:rPr>
        <w:rtl w:val="0"/>
      </w:rPr>
      <w:t xml:space="preserve">Izdrukāts 29.07.2026. 23.34 - 6.0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anotācija_(ex_ante)_24-TA-1377.docx</dc:title>
</cp:coreProperties>
</file>

<file path=docProps/custom.xml><?xml version="1.0" encoding="utf-8"?>
<Properties xmlns="http://schemas.openxmlformats.org/officeDocument/2006/custom-properties" xmlns:vt="http://schemas.openxmlformats.org/officeDocument/2006/docPropsVTypes"/>
</file>