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noteikumos Nr. 150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MK noteikumu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 Nr. 150).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papildināt MK noteikumus Nr. 150 ar nosacījumiem, lai Emisijas kvotu izsolīšanas instrumenta (turpmāk - EKII) finansēto projektu atklātā konkursa “Siltumnīcefekta gāzu emisiju samazināšana mājsaimniecībās – atbalsts atjaunojamo energoresursu izmantošanai” (turpmāk – konkurss) ietvaros palielinātu atbalsta apmēru personām, kurām ir piešķirta Latvijas Goda ģimenes apliecība, papildinātu ar jaunu atbalstāmo aktivitāti, kā arī precizētu citus nosacījumu, lai veicinātu efektīvāku konkursa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10. maiju konkursa ietvaros ir iesniegti 15 706 projektu iesniegumi par kopējo pieprasīto EKII finansējumu 59 313 527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150 4. punktā noteiktais paredz konkursa ietvaros pieejamo kopējo EKII atbalstu 85 milj. </w:t>
      </w:r>
      <w:r w:rsidR="00000000" w:rsidRPr="00000000" w:rsidDel="00000000">
        <w:rPr>
          <w:i w:val="1"/>
          <w:rtl w:val="0"/>
        </w:rPr>
        <w:t xml:space="preserve">euro</w:t>
      </w:r>
      <w:r w:rsidR="00000000" w:rsidRPr="00000000" w:rsidDel="00000000">
        <w:rPr>
          <w:rtl w:val="0"/>
        </w:rPr>
        <w:t xml:space="preserve">, savukārt 5. punkts nosaka, ka konkursa ietvaros aktivitātes, kas iekļautas apstiprinātajos projektu iesniegumos īsteno līdz 2029. gada 31. decembrim, vai brīdim, kad beidzas minētais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iedzīvotāju līdzšinējo interesi (mēneša laikā atjaunīgo energoresursu tehnoloģijas iedzīvotāji iegādājas par kopējo summu ap 0,8 milj. </w:t>
      </w:r>
      <w:r w:rsidR="00000000" w:rsidRPr="00000000" w:rsidDel="00000000">
        <w:rPr>
          <w:i w:val="1"/>
          <w:rtl w:val="0"/>
        </w:rPr>
        <w:t xml:space="preserve">eur</w:t>
      </w:r>
      <w:r w:rsidR="00000000" w:rsidRPr="00000000" w:rsidDel="00000000">
        <w:rPr>
          <w:rtl w:val="0"/>
        </w:rPr>
        <w:t xml:space="preserve">o apmērā), kā arī to, ka iniciatīvas attiecībā uz pasākumu ieviešanu klimata politikas mērķu sasniegšanai paplašināsies (aktualizētais Nacionālais enerģētikas un klimata plāns 2021. - 2030. gadam; Klimatnoturības un ekonomiskās ilgtspējas likums; Smalko daļiņu, amonjaka, slāpekļa oksīdu, gaistošo organisko savienojumu un sēra dioksīda emisiju samazināšanas plāns 2026. ‒ 2030. gadam) ir prognozējams, ka arī turpmāk būs aktīva interese no iedzīvotāju puses iegādāties videi draudzīgas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b w:val="1"/>
          <w:i w:val="1"/>
          <w:rtl w:val="0"/>
        </w:rPr>
        <w:t xml:space="preserve"> </w:t>
      </w:r>
      <w:r w:rsidR="00000000" w:rsidRPr="00000000" w:rsidDel="00000000">
        <w:rPr>
          <w:b w:val="1"/>
          <w:rtl w:val="0"/>
        </w:rPr>
        <w:t xml:space="preserve">Projektos izvēlētie risinājumi</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83"/>
        <w:gridCol w:w="2905"/>
        <w:tblGridChange w:id="0">
          <w:tblGrid>
            <w:gridCol w:w="3202"/>
            <w:gridCol w:w="3083"/>
            <w:gridCol w:w="29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Realizēto projektu skaits</w:t>
            </w:r>
            <w:r w:rsidR="00000000" w:rsidRPr="00000000" w:rsidDel="00000000">
              <w:rPr>
                <w:sz w:val="24"/>
                <w:b w:val="1"/>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Kopējā jauda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154</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3408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3699 litri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877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9582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118 911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821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24 041 kWh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1 </w:t>
      </w:r>
      <w:r w:rsidR="00000000" w:rsidRPr="00000000" w:rsidDel="00000000">
        <w:rPr>
          <w:i w:val="1"/>
          <w:rtl w:val="0"/>
        </w:rPr>
        <w:t xml:space="preserve">vienā projektā var būt vienlaicīgi īstenotas vairākas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Ar EKII līdzfinansējumu īstenoto aktivitāšu rādītāji līdz 2026.gada 10.maijam</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77"/>
        <w:gridCol w:w="1054"/>
        <w:gridCol w:w="766"/>
        <w:gridCol w:w="1340"/>
        <w:gridCol w:w="738"/>
        <w:gridCol w:w="1178"/>
        <w:gridCol w:w="1216"/>
        <w:gridCol w:w="1168"/>
        <w:tblGridChange w:id="0">
          <w:tblGrid>
            <w:gridCol w:w="977"/>
            <w:gridCol w:w="1054"/>
            <w:gridCol w:w="766"/>
            <w:gridCol w:w="1340"/>
            <w:gridCol w:w="738"/>
            <w:gridCol w:w="1178"/>
            <w:gridCol w:w="1216"/>
            <w:gridCol w:w="116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Apakšaktivitāte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Projekta attiecināmās izmaksas, </w:t>
            </w:r>
            <w:r w:rsidR="00000000" w:rsidRPr="00000000" w:rsidDel="00000000">
              <w:rPr>
                <w:sz w:val="24"/>
                <w:b w:val="1"/>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Pieprasītais EKII finansējums, </w:t>
            </w:r>
            <w:r w:rsidR="00000000" w:rsidRPr="00000000" w:rsidDel="00000000">
              <w:rPr>
                <w:sz w:val="24"/>
                <w:b w:val="1"/>
                <w:i w:val="1"/>
                <w:rtl w:val="0"/>
              </w:rPr>
              <w:t xml:space="preserve">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 EKII atbalsts,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Apstiprinātais EKII finansējums, </w:t>
            </w:r>
            <w:r w:rsidR="00000000" w:rsidRPr="00000000" w:rsidDel="00000000">
              <w:rPr>
                <w:sz w:val="24"/>
                <w:b w:val="1"/>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Indikatīvais CO</w:t>
            </w:r>
            <w:r w:rsidR="00000000" w:rsidRPr="00000000" w:rsidDel="00000000">
              <w:rPr>
                <w:sz w:val="24"/>
                <w:b w:val="1"/>
                <w:vertAlign w:val="subscript"/>
                <w:rtl w:val="0"/>
              </w:rPr>
              <w:t xml:space="preserve">2 </w:t>
            </w:r>
            <w:r w:rsidR="00000000" w:rsidRPr="00000000" w:rsidDel="00000000">
              <w:rPr>
                <w:sz w:val="24"/>
                <w:b w:val="1"/>
                <w:rtl w:val="0"/>
              </w:rPr>
              <w:t xml:space="preserve">emisijas samazinājums, kg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Pasākuma izmaksu efektivitāte,</w:t>
            </w:r>
            <w:r w:rsidR="00000000" w:rsidRPr="00000000" w:rsidDel="00000000">
              <w:rPr>
                <w:sz w:val="24"/>
                <w:b w:val="1"/>
                <w:rtl w:val="0"/>
              </w:rPr>
              <w:t xml:space="preserve">kgCO</w:t>
            </w:r>
            <w:r w:rsidR="00000000" w:rsidRPr="00000000" w:rsidDel="00000000">
              <w:rPr>
                <w:sz w:val="24"/>
                <w:b w:val="1"/>
                <w:vertAlign w:val="subscript"/>
                <w:rtl w:val="0"/>
              </w:rPr>
              <w:t xml:space="preserve">2</w:t>
            </w:r>
            <w:r w:rsidR="00000000" w:rsidRPr="00000000" w:rsidDel="00000000">
              <w:rPr>
                <w:sz w:val="24"/>
                <w:b w:val="1"/>
                <w:rtl w:val="0"/>
              </w:rPr>
              <w:t xml:space="preserve">/EUR (EUR/tCO</w:t>
            </w:r>
            <w:r w:rsidR="00000000" w:rsidRPr="00000000" w:rsidDel="00000000">
              <w:rPr>
                <w:sz w:val="24"/>
                <w:b w:val="1"/>
                <w:vertAlign w:val="subscript"/>
                <w:rtl w:val="0"/>
              </w:rPr>
              <w:t xml:space="preserve">2</w:t>
            </w:r>
            <w:r w:rsidR="00000000" w:rsidRPr="00000000" w:rsidDel="00000000">
              <w:rPr>
                <w:sz w:val="24"/>
                <w:b w:val="1"/>
                <w:rtl w:val="0"/>
              </w:rPr>
              <w:t xml:space="preserve">)</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 fosilos energoresursus izmantojoša apkures katla nomaiņa</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776895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498923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416928</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35773163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24697</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913596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560129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475210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7036087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3933946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3552944</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45291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elektroenerģijas ražošanas iekārtas iegāde</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97831513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48870246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47806771</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63021467</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Pieslēgums centralizētajai siltumapgādes sistēmai</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600865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7,24</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8344976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5395564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5275263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115171764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59456057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57691089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aizstātais apkures kurināmā veids (apstiprinātie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gāze - 825;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ogles - 111;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dīzeļdegviela - 56;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sašķidrinātā gāze - 44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kūdras briketes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izvēli pieslēgties centralizētajai siltumapgādei ir izvēlējušies Liepājas un Ventspils pilsētu, kā arī Talsu, Madonas, Liepājas, Kuldīgas, Ventspils, Cēsu un Salaspils novadu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 indikatīvo CO</w:t>
      </w:r>
      <w:r w:rsidR="00000000" w:rsidRPr="00000000" w:rsidDel="00000000">
        <w:rPr>
          <w:vertAlign w:val="subscript"/>
          <w:rtl w:val="0"/>
        </w:rPr>
        <w:t xml:space="preserve">2</w:t>
      </w:r>
      <w:r w:rsidR="00000000" w:rsidRPr="00000000" w:rsidDel="00000000">
        <w:rPr>
          <w:rtl w:val="0"/>
        </w:rPr>
        <w:t xml:space="preserve"> emisijas samazinājumu apstiprinātajos projektos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kurināmais (izņemot, ja projektā apstiprināts siltumsūknis)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kurināmais - CO</w:t>
      </w:r>
      <w:r w:rsidR="00000000" w:rsidRPr="00000000" w:rsidDel="00000000">
        <w:rPr>
          <w:vertAlign w:val="subscript"/>
          <w:rtl w:val="0"/>
        </w:rPr>
        <w:t xml:space="preserve">2</w:t>
      </w:r>
      <w:r w:rsidR="00000000" w:rsidRPr="00000000" w:rsidDel="00000000">
        <w:rPr>
          <w:rtl w:val="0"/>
        </w:rPr>
        <w:t xml:space="preserve"> siltumsūknis (ja projektā apstiprināts siltumsūknis),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 CO</w:t>
      </w:r>
      <w:r w:rsidR="00000000" w:rsidRPr="00000000" w:rsidDel="00000000">
        <w:rPr>
          <w:vertAlign w:val="subscript"/>
          <w:rtl w:val="0"/>
        </w:rPr>
        <w:t xml:space="preserve">2</w:t>
      </w:r>
      <w:r w:rsidR="00000000" w:rsidRPr="00000000" w:rsidDel="00000000">
        <w:rPr>
          <w:rtl w:val="0"/>
        </w:rPr>
        <w:t xml:space="preserve">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siltumsūknis =V</w:t>
      </w:r>
      <w:r w:rsidR="00000000" w:rsidRPr="00000000" w:rsidDel="00000000">
        <w:rPr>
          <w:vertAlign w:val="subscript"/>
          <w:rtl w:val="0"/>
        </w:rPr>
        <w:t xml:space="preserve">kurināmā</w:t>
      </w:r>
      <w:r w:rsidR="00000000" w:rsidRPr="00000000" w:rsidDel="00000000">
        <w:rPr>
          <w:rtl w:val="0"/>
        </w:rPr>
        <w:t xml:space="preserve"> </w:t>
      </w:r>
      <w:r w:rsidR="00000000" w:rsidRPr="00000000" w:rsidDel="00000000">
        <w:rPr>
          <w:vertAlign w:val="subscript"/>
          <w:rtl w:val="0"/>
        </w:rPr>
        <w:t xml:space="preserve">apjoms</w:t>
      </w:r>
      <w:r w:rsidR="00000000" w:rsidRPr="00000000" w:rsidDel="00000000">
        <w:rPr>
          <w:rtl w:val="0"/>
        </w:rPr>
        <w:t xml:space="preserve"> × Q</w:t>
      </w:r>
      <w:r w:rsidR="00000000" w:rsidRPr="00000000" w:rsidDel="00000000">
        <w:rPr>
          <w:vertAlign w:val="subscript"/>
          <w:rtl w:val="0"/>
        </w:rPr>
        <w:t xml:space="preserve">faktors</w:t>
      </w:r>
      <w:r w:rsidR="00000000" w:rsidRPr="00000000" w:rsidDel="00000000">
        <w:rPr>
          <w:rtl w:val="0"/>
        </w:rPr>
        <w:t xml:space="preserve"> / 3,6 / COP × 0,109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w:t>
      </w:r>
      <w:r w:rsidR="00000000" w:rsidRPr="00000000" w:rsidDel="00000000">
        <w:rPr>
          <w:vertAlign w:val="subscript"/>
          <w:rtl w:val="0"/>
        </w:rPr>
        <w:t xml:space="preserve">2 </w:t>
      </w:r>
      <w:r w:rsidR="00000000" w:rsidRPr="00000000" w:rsidDel="00000000">
        <w:rPr>
          <w:rtl w:val="0"/>
        </w:rPr>
        <w:t xml:space="preserve">emisijas faktors elektroenerģijai, kgCO</w:t>
      </w:r>
      <w:r w:rsidR="00000000" w:rsidRPr="00000000" w:rsidDel="00000000">
        <w:rPr>
          <w:vertAlign w:val="subscript"/>
          <w:rtl w:val="0"/>
        </w:rPr>
        <w:t xml:space="preserve">2</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faktors</w:t>
      </w:r>
      <w:r w:rsidR="00000000" w:rsidRPr="00000000" w:rsidDel="00000000">
        <w:rPr>
          <w:rtl w:val="0"/>
        </w:rPr>
        <w:t xml:space="preserve"> – zemākais sadegšanas siltums, MJ/m</w:t>
      </w:r>
      <w:r w:rsidR="00000000" w:rsidRPr="00000000" w:rsidDel="00000000">
        <w:rPr>
          <w:vertAlign w:val="superscript"/>
          <w:rtl w:val="0"/>
        </w:rPr>
        <w:t xml:space="preserve">3</w:t>
      </w:r>
      <w:r w:rsidR="00000000" w:rsidRPr="00000000" w:rsidDel="00000000">
        <w:rPr>
          <w:rtl w:val="0"/>
        </w:rPr>
        <w:t xml:space="preserve"> vai MJ/kg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kurināmā</w:t>
      </w:r>
      <w:r w:rsidR="00000000" w:rsidRPr="00000000" w:rsidDel="00000000">
        <w:rPr>
          <w:rtl w:val="0"/>
        </w:rPr>
        <w:t xml:space="preserve"> apjoms – kurināmā patēriņš gada laikā pirms projekta realizācijas, m3 vai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 koeficients pārejai no MJ uz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COP – siltumsūkņa lietderības koeficients –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monitoringa periods,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 indikatīvo CO</w:t>
      </w:r>
      <w:r w:rsidR="00000000" w:rsidRPr="00000000" w:rsidDel="00000000">
        <w:rPr>
          <w:vertAlign w:val="subscript"/>
          <w:rtl w:val="0"/>
        </w:rPr>
        <w:t xml:space="preserve">2</w:t>
      </w:r>
      <w:r w:rsidR="00000000" w:rsidRPr="00000000" w:rsidDel="00000000">
        <w:rPr>
          <w:rtl w:val="0"/>
        </w:rPr>
        <w:t xml:space="preserve"> emisijas samazinājumu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=N</w:t>
      </w:r>
      <w:r w:rsidR="00000000" w:rsidRPr="00000000" w:rsidDel="00000000">
        <w:rPr>
          <w:vertAlign w:val="subscript"/>
          <w:rtl w:val="0"/>
        </w:rPr>
        <w:t xml:space="preserve">jauda</w:t>
      </w:r>
      <w:r w:rsidR="00000000" w:rsidRPr="00000000" w:rsidDel="00000000">
        <w:rPr>
          <w:rtl w:val="0"/>
        </w:rPr>
        <w:t xml:space="preserve"> × 1000 × 0,109 × 5,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 CO</w:t>
      </w:r>
      <w:r w:rsidR="00000000" w:rsidRPr="00000000" w:rsidDel="00000000">
        <w:rPr>
          <w:vertAlign w:val="subscript"/>
          <w:rtl w:val="0"/>
        </w:rPr>
        <w:t xml:space="preserve">2</w:t>
      </w:r>
      <w:r w:rsidR="00000000" w:rsidRPr="00000000" w:rsidDel="00000000">
        <w:rPr>
          <w:rtl w:val="0"/>
        </w:rPr>
        <w:t xml:space="preserve">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jauda</w:t>
      </w:r>
      <w:r w:rsidR="00000000" w:rsidRPr="00000000" w:rsidDel="00000000">
        <w:rPr>
          <w:rtl w:val="0"/>
        </w:rPr>
        <w:t xml:space="preserve"> – uzstādītās atjaunīgo energoresursu iekārtas nominālā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 iekārtas darbības laiks gadā, h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w:t>
      </w:r>
      <w:r w:rsidR="00000000" w:rsidRPr="00000000" w:rsidDel="00000000">
        <w:rPr>
          <w:vertAlign w:val="subscript"/>
          <w:rtl w:val="0"/>
        </w:rPr>
        <w:t xml:space="preserve">2</w:t>
      </w:r>
      <w:r w:rsidR="00000000" w:rsidRPr="00000000" w:rsidDel="00000000">
        <w:rPr>
          <w:rtl w:val="0"/>
        </w:rPr>
        <w:t xml:space="preserve"> emisijas faktors elektroenerģijai, kgCO</w:t>
      </w:r>
      <w:r w:rsidR="00000000" w:rsidRPr="00000000" w:rsidDel="00000000">
        <w:rPr>
          <w:vertAlign w:val="subscript"/>
          <w:rtl w:val="0"/>
        </w:rPr>
        <w:t xml:space="preserve">2</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pieci monitoringa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indikatīvi plānotais CO</w:t>
      </w:r>
      <w:r w:rsidR="00000000" w:rsidRPr="00000000" w:rsidDel="00000000">
        <w:rPr>
          <w:vertAlign w:val="subscript"/>
          <w:rtl w:val="0"/>
        </w:rPr>
        <w:t xml:space="preserve">2</w:t>
      </w:r>
      <w:r w:rsidR="00000000" w:rsidRPr="00000000" w:rsidDel="00000000">
        <w:rPr>
          <w:rtl w:val="0"/>
        </w:rPr>
        <w:t xml:space="preserve"> emisiju samazinājums ir indikatīva un vienkāršoti aprēķināta informācija, ko balstoties uz datiem par īstenotajiem projektiem, aprēķina SIA "Vides investīciju fonds" (turpmāk - Vides investīciju fonds). Aprēķinos tiek ņemti vērā fosilo energoresursu dažādie CO</w:t>
      </w:r>
      <w:r w:rsidR="00000000" w:rsidRPr="00000000" w:rsidDel="00000000">
        <w:rPr>
          <w:vertAlign w:val="subscript"/>
          <w:rtl w:val="0"/>
        </w:rPr>
        <w:t xml:space="preserve">2</w:t>
      </w:r>
      <w:r w:rsidR="00000000" w:rsidRPr="00000000" w:rsidDel="00000000">
        <w:rPr>
          <w:rtl w:val="0"/>
        </w:rPr>
        <w:t xml:space="preserve"> emisijas faktori un vidējais elektroenerģijas CO</w:t>
      </w:r>
      <w:r w:rsidR="00000000" w:rsidRPr="00000000" w:rsidDel="00000000">
        <w:rPr>
          <w:vertAlign w:val="subscript"/>
          <w:rtl w:val="0"/>
        </w:rPr>
        <w:t xml:space="preserve">2</w:t>
      </w:r>
      <w:r w:rsidR="00000000" w:rsidRPr="00000000" w:rsidDel="00000000">
        <w:rPr>
          <w:rtl w:val="0"/>
        </w:rPr>
        <w:t xml:space="preserve"> emisijas faktors projektos, kuros ir iegādāti un uzstādīti siltumsūkņi. Atbilstoši MK noteikumu Nr.150 nosacījumiem atbalsts atjaunīgo energoresursu iekārtu iegādei tiek sniegts, ja pilnībā tiek nomainīta esoša fosilos energoresursus (piemēram, dabasgāze, akmeņogles) izmantojoša iekārta (apkures katls).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statistiskā informācija par sniegto atbalstu konkursa ietvaros ir pieejama tīmekļa vietnē - https://ekii.lv/index.php?page=atbalsts-majsaimniecibam.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Vides investīciju fonda personas datu apstrādes pamatnolūkiem, tostarp personas datu apstrādes juridisko pamatojumu, personas datu glabāšanas ilgums, datu subjekta tiesības un citi nosacījumi tiek noteikti ar Vides investīciju fonda iekšējiem noteikumiem par datu privātuma politiku, kas ir publiski pieejami un pieejami ikvienam interesantam. Papildus, ņemot vērā, ka Vides investīciju fondam nepieciešams saņemt projekta iesniedzēja piekrišanu personas datu apstrādei, projekta iesniedzējs kopā ar projekta iesnieguma veidlapu iesniedz arī veidlapu personas datu apstrādei, kuru sagatavo atbilstoši Vides investīciju fonda tīmekļvietnē publicētajai veidnei.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atbalsta saņēmējs ir reģistrēts kā parādnieks Uzturlīdzekļu garantiju fonda administrācijas iesniedzēju un parādnieku reģistrā, kā rezultātā konkursa ietvaros nevar pretendēt uz finansējumu konkursa ietvaros atbalstāmo aktivitāšu īstenošanai, dati no Uzturlīdzekļu garantiju fonda iesniedzēju un parādnieku reģistra noteikumu projekta 12.6. apakšpunktā minētā nosacījuma pārbaudei tiek izgūti, izmantojot www.latvija.gov.lv pieejamo informāciju, kas tiek sniegta par Uzturlīdzekļu garantiju fonda parādniekiem saskaņā ar Uzturlīdzekļu garantiju fonda likuma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fiziskas personas atbilstības pārbaudi noteikumu projekta 8., 9. un 10. punkta prasībām Vides investīciju fonds izmantos publiski pieejamās datubāzes un Iekšlietu ministrijas Informācijas centra pārziņā esošo valsts informācijas sistēmu "Sodu reģistrs", kā arī fiziskās personas iesniegto apliecinājumu (noteikumu projekta 2. pielikums). Informācija tiks pārbaudīta par katru fizisku personu, kas iegādāsies atjaunīgo energoresursu iekārtu vai veiks pieslēgšanos centralizētajai siltumapgādes sistēmai konkursa ietvaros. Ņemot vērā, ka atbalsta sniegšana plānota vairāku gadu laikā, tad paredzams, ka pārbaudāmais informācijas apjoms būs samērīgs un atbilstošs konkursa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49"/>
        <w:gridCol w:w="3080"/>
        <w:gridCol w:w="2960"/>
        <w:tblGridChange w:id="0">
          <w:tblGrid>
            <w:gridCol w:w="3149"/>
            <w:gridCol w:w="3080"/>
            <w:gridCol w:w="29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 atbalsta saņēmējs vai persona, kura ir valdes/padomes loceklis, prokūrists vai pilnvarotais pārstāvis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bscript"/>
                <w:rtl w:val="0"/>
              </w:rPr>
              <w:t xml:space="preserve">4</w:t>
            </w:r>
            <w:r w:rsidR="00000000" w:rsidRPr="00000000" w:rsidDel="00000000">
              <w:rPr>
                <w:sz w:val="24"/>
                <w:rtl w:val="0"/>
              </w:rPr>
              <w:t xml:space="preserve"> pants (Personas vervēšana, apmācīšana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pants (Nodarbināšanas noteikumu pārkāpšana,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pants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panta otrā daļa (Informatīvo deklarāciju iesniegšanas termiņu neievērošana)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pieejamo EKII finansējuma apjomu konkursa ietvaros, kā arī iedzīvotāju pastiprināto interesi iegādāties un uzstādīt atjaunīgo energoresursu izmantojošas iekārtas enerģijas ražošanai mājsaimniecībās pašpatēriņa nodrošināšanai ir nepieciešams palielināt atbalstāmo darbību loku, lai pēc iespējas vairāk iedzīvotāju varētu turpināt saņemt atbalstu konkursa ietvaros  un paplašinātu atbalsta saņēmēju loku, kas var saņemt lielāku atbalsta apmēru, t.i. papildu atbalsts tiks sniegts daudzbērnu ģimenēm, kuru aprūpē ir trīs un vairāk bērni vecumā līdz astoņpadsmit gadiem vai pilngadīgas personas, kuras nav sasniegušas 24 gadu vecumu, ja tās iegūst vispārējo, profesionālo vai augstāko izglītību vai 11 mēnešus pilda valsts aizsardzības dienestu un, kurām ir Latvijas Goda ģimenes apliecība. Latvijas Goda ģimenes apliecības priekšrocības tiek piemērotas arī ģimenēm, kuras aprūpē bērnu ar invaliditāti vai pilngadīgu personu, kura nav sasniegusi 24 gadu vecumu un kurai noteikta I vai II grupas invaliditāte, kas savukārt nebija iekļauta kā mērķgrupa konkursa ietvaros. Vienlaikus nodrošinot atbalsta īstenošanas aktivitāšu nepārtrauktību laika posmā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mājsaimniecību izvēli starp MK noteikumos Nr.150 piedāvātajām aktivitātēm, tika secināts, ka tikai 0,14% no mājsaimniecībām ir izvēlējušās veikt pieslēgumu centralizētajai siltumapgādes sistēmai, kas liecina par zemu interesi salīdzinot ar citām piedāvātajām aktivitātēm. Pastāv vairāki iemesli kāpēc mājsaimniecības neizvēlās augstākminēto aktivitāti, proti, siltumtīklu nepieejamība, augstas pieslēguma izmaksas (projekta sagatavošana, siltummezgla izbūve un cauruļvadu pievilkšana), siltumenerģijas tarifu neprognozējāmība (centralizētās siltumapgādes tarifi var mainīties atkarībā no kurināmā veida, kurināmā cenas, regulējuma un siltumenerģijas ražošanas uzņēmuma politikas) un atkarība no viena piegādātāja.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vairāk Latvijas mājsaimniecību izrāda interesi par centrālapkures granulu kamīnu uzstādīšanu, meklējot efektīvus un videi draudzīgus risinājumus mazas platības mājokļu apsildīšanai. Pēdējā gada laikā pieaudzis pieprasījums pēc konsultācijām un tehniskajiem izvērtējumiem, kas apliecina, ka granulu kamīni (apkures sistēmas) kļūst par nopietnu alternatīvu tradicionālajiem biomasas jeb granulu katliem.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paredz izdarīt MK noteikumos Nr. 150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precizēt MK noteikumu Nr. 150 tiesisko pamatojumu (deleģējumu)</w:t>
      </w:r>
      <w:r w:rsidR="00000000" w:rsidRPr="00000000" w:rsidDel="00000000">
        <w:rPr>
          <w:rtl w:val="0"/>
        </w:rPr>
        <w:t xml:space="preserve">, proti, 2025. gada 12. decembrī spēkā stājās Klimatnoturības un ekonomiskās ilgtspējas likums, kura 15. panta astotās daļas 2. punktā paredzēts, ka Ministru kabinets izdod projektu iesniegumu konkursu nolikumus, kuros nosaka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EKII līdzekļu atgūšanas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papildināts MK noteikumu Nr. 150 8.1. apakšpunkts</w:t>
      </w:r>
      <w:r w:rsidR="00000000" w:rsidRPr="00000000" w:rsidDel="00000000">
        <w:rPr>
          <w:rtl w:val="0"/>
        </w:rPr>
        <w:t xml:space="preserve"> ar atsauci uz 9.1.16. apakšpunktu, kas paredz jaunu būves klasi, kurā var tikt īstenotas konkursa ietvaros plānotās aktivtiitātes;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papildināts MK noteikumu Nr. 150 9. punkts ar jaunu 9.1.16. apakšpunktu un ar jaunu 9.1.</w:t>
      </w:r>
      <w:r w:rsidR="00000000" w:rsidRPr="00000000" w:rsidDel="00000000">
        <w:rPr>
          <w:u w:val="single"/>
          <w:vertAlign w:val="superscript"/>
          <w:rtl w:val="0"/>
        </w:rPr>
        <w:t xml:space="preserve">2</w:t>
      </w:r>
      <w:r w:rsidR="00000000" w:rsidRPr="00000000" w:rsidDel="00000000">
        <w:rPr>
          <w:u w:val="single"/>
          <w:rtl w:val="0"/>
        </w:rPr>
        <w:t xml:space="preserve"> apakšpunktu</w:t>
      </w:r>
      <w:r w:rsidR="00000000" w:rsidRPr="00000000" w:rsidDel="00000000">
        <w:rPr>
          <w:rtl w:val="0"/>
        </w:rPr>
        <w:t xml:space="preserve">, paredzot, ka MK noteikumu 16.punktā minētās aktivitātes var īstenot ēkā ar būves klasifikācijas kodu 1272, bet ar nosacījumu, ka minētajā ēkā dzīvo garīdzniecība un ēkai būs norādīts nosaukums "Draudzes nams" vai "Dzīvojamā māja". Īstenojot konkursu ir identificēts, ka reliģisko organizāciju pārstāvji var pastāvīgi uzturēties (dzīvot) kulta ēkās, bet tās netiek reģistrētas kā dzīvojamās mājas. Ņemot vērā, ka projektu konkursa ietvaros viena no projekta iesniedzēju grupām ir reliģiskās organizācijas, tad ir nepieciešams pilnveidot nosacījumu attiecībā uz būvju kodiem, lai nodrošinātu konkursa aktivitāšu praktisku īstenošanu. Garīdzniecība ir cilvēku grupa, kas pieder pie baznīcas vai reliģiskās organizācijas un profesionāli pilda reliģiskos pienākumus. Garīdzniecībā parasti ietilpst, piemēram, priesteri, mācītāji, bīskapi.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precizēts MK noteikumu Nr. 150 15. punkts</w:t>
      </w:r>
      <w:r w:rsidR="00000000" w:rsidRPr="00000000" w:rsidDel="00000000">
        <w:rPr>
          <w:rtl w:val="0"/>
        </w:rPr>
        <w:t xml:space="preserve">, paredzot pieļaujamās atbalsta intensitātes palielināšanu no 70% līdz 85% no mājsaimniecības pieslēguma centralizētajai siltumapgādes sistēmai projektēšanas un siltummezgla izveides izmaksām (15.3. apakšpunkts). Lai paplašinātu atbalsta saņēmēju loku un veicinātu mājsaimniecību, kurām ir Latvijas Goda ģimenes karte,  atjaunojamo energoresursu izmantošanu MK noteikumu projekta 15. punkts tiek precizēts palielniot atbalsta intensitāti no 70% uz 85 % siltumenerģijas vai elektroenerģijas ražošanas iekārtas iegādei (15.2. apakšpunkts) un elektroenerģijas uzglabāšanas iekārtas iegādei (15.5.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svītrots MK noteikumu Nr. 150 15.</w:t>
      </w:r>
      <w:r w:rsidR="00000000" w:rsidRPr="00000000" w:rsidDel="00000000">
        <w:rPr>
          <w:u w:val="single"/>
          <w:vertAlign w:val="superscript"/>
          <w:rtl w:val="0"/>
        </w:rPr>
        <w:t xml:space="preserve">1</w:t>
      </w:r>
      <w:r w:rsidR="00000000" w:rsidRPr="00000000" w:rsidDel="00000000">
        <w:rPr>
          <w:u w:val="single"/>
          <w:rtl w:val="0"/>
        </w:rPr>
        <w:t xml:space="preserve"> punkts</w:t>
      </w:r>
      <w:r w:rsidR="00000000" w:rsidRPr="00000000" w:rsidDel="00000000">
        <w:rPr>
          <w:rtl w:val="0"/>
        </w:rPr>
        <w:t xml:space="preserve">, jo nosacījums ir integrēts MK noteikumu projekta 15.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precizēts MK noteikumu Nr. 150 16.1. apakšpunkts</w:t>
      </w:r>
      <w:r w:rsidR="00000000" w:rsidRPr="00000000" w:rsidDel="00000000">
        <w:rPr>
          <w:rtl w:val="0"/>
        </w:rPr>
        <w:t xml:space="preserve">, paredzot, konkursa ietvaros jaunu atbalsta aktivitāti, proti, mājsaimniecība atbalsta programmas ietvaros dzīvojamā mājā vai daudzdzīvokļu mājā varēs nomainīt </w:t>
      </w:r>
      <w:r w:rsidR="00000000" w:rsidRPr="00000000" w:rsidDel="00000000">
        <w:rPr>
          <w:u w:val="single"/>
          <w:rtl w:val="0"/>
        </w:rPr>
        <w:t xml:space="preserve">esošu biomasas (malka, granulas) apkures katlu</w:t>
      </w:r>
      <w:r w:rsidR="00000000" w:rsidRPr="00000000" w:rsidDel="00000000">
        <w:rPr>
          <w:rtl w:val="0"/>
        </w:rPr>
        <w:t xml:space="preserve"> pret koksnes biomasas katlu, kas piemērots granulu kurināmajam, vai centrālapkures granulu kamīnu, saules kolektoru sistēmu vai siltumsūkni.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precizēts MK noteikumu Nr. 150  16.1.1. apakšpunkts un 18. punkts,</w:t>
      </w:r>
      <w:r w:rsidR="00000000" w:rsidRPr="00000000" w:rsidDel="00000000">
        <w:rPr>
          <w:rtl w:val="0"/>
        </w:rPr>
        <w:t xml:space="preserve"> papildinot to ar jaunu atbalsta aktivitāti, proti centrālapkures granulu kamīna iegādi, kas piemērots granulu kurināmajam, ar kopējo uzstādīto jaudu līdz 50 kW (ieskaitot). Centrālapkures granulu kamīns ir granulu kamīns, kas ne tikai silda telpu, kurā tas atrodas, bet arī ir pieslēgts dzīvojamās mājas vai dauddzīvokļu mājas centrālapkures sistēmai un spēj sildīt ūdeni radiatoriem vai grīdas apkurei. Lai centrālapkures granulu kamīna iegāde tiktu atbalstīta, līdzīgi kā pie biomasas katla iegādes, ir nepieciešams, lai centrālapkures granulu kamīns atbilst Eiropas Komisijas 2015. gada 28. aprīļa Regulas (ES) 2015/1189, ar ko Eiropas Parlamenta un Padomes Direktīvu 2009/125/EK īsteno attiecībā uz ekodizaina prasībām cietā kurināmā katliem, prasībām, tai skaitā pieļaujamām gaisu piesārņojošo vielu emisijām un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augstākai par A+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siltumenerģijas lietderības koeficienta analīzi, kā arī izvērtējot SEG emisiju apjomu, secināts, ka centrālapkures granulu kamīni nodrošina līdzvērtīgu efektivitāti kā biomasas katli. To darbības princips, automatizācijas līmenis un degšanas procesa kontrole ļauj sasniegt augstu energoefektivitāti, vienlaikus saglabājot zemas emisijas un stabilu siltuma padevi. Granulu kamīni, kas paredzēti pieslēgšanai centrālapkures sistēmai, spēj nodrošināt pilnvērtīgu mājokļa apsildi, vienlaikus piedāvājot kompaktāku uzstādīšanas risinājumu un bieži vien arī zemākas sākotnējās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biomasas katli parasti nodrošina līdzvērtīgu vai nedaudz augstāku efektivitāti nekā centrālapkures granulu kamīni ar A+ energoefektivitātes klasi, jo tie ir optimizēti darbam centrālapkures sistēmās un bieži tiek ieregulēti ilgstošai darbībai nominālajā jaudā. Savukārt, centrālapkures granulu kamīni A+ energoefektivitātes klasē var sasniegt ļoti augstu energoefektivitāti, no 80% līdz pat 95 % atsevišķos režīmos, kas nozīmē, ka liela daļa no granulu siltumenerģijas tiek efektīvi pārveidota apkures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u w:val="single"/>
          <w:rtl w:val="0"/>
        </w:rPr>
        <w:t xml:space="preserve">papildināti MK noteikumi Nr. 150 ar jaunu 16.1.</w:t>
      </w:r>
      <w:r w:rsidR="00000000" w:rsidRPr="00000000" w:rsidDel="00000000">
        <w:rPr>
          <w:u w:val="single"/>
          <w:vertAlign w:val="superscript"/>
          <w:rtl w:val="0"/>
        </w:rPr>
        <w:t xml:space="preserve">2</w:t>
      </w:r>
      <w:r w:rsidR="00000000" w:rsidRPr="00000000" w:rsidDel="00000000">
        <w:rPr>
          <w:u w:val="single"/>
          <w:rtl w:val="0"/>
        </w:rPr>
        <w:t xml:space="preserve"> apakšpunktu</w:t>
      </w:r>
      <w:r w:rsidR="00000000" w:rsidRPr="00000000" w:rsidDel="00000000">
        <w:rPr>
          <w:rtl w:val="0"/>
        </w:rPr>
        <w:t xml:space="preserve">, kas paredz konkursa ietvaros jaunu aktivitāti, kas ir saistīta ar dažādu tehnoloģiju kombinētu izmantošanu, t.i. īstenojot projektu nav obligāti nepieciešams demontēt esošo enerģiju ražojošu iekārtu, bet ir iespējams iegādāties jaunu atjaunīgos energoresursus izmantojošu iekārtu un nodrošināt tās vienlaicīgu izmantošanu ar esošo apkures katlu. Plašākā nozīmē termins "hibrīds" vai "hibrīda sildītājs" attiecas uz iekārtu vai iekārtu sistēmu, kas apvieno vismaz divus dažādus enerģijas avotus, lai nodrošinātu ēkas apkuri un/vai karstā ūdens apgādi, un kuras darbību pārvalda viena vadības sistēma. Tradicionāli vispazīstamākais hibrīda veids līdz šim ir bijis apkures katla un saules termisko kolektoru sistēmas apvienojums telpu un ūdens sildīšanai. Savukārt hibrīda siltumsūknis ir elektriskā siltumsūkņa, apkures katla un viedās vadības ierīces kombinācija, kas nodrošina telpu apsildi un parasti arī karstā ūdens sagatavošanu.  Ekodizaina regulas par telpu un ūdens sildītājiem pārskatīšanas projektā tas ir atzīts par atsevišķu produktu kategoriju ar savu minimālo veiktspējas prasību kopumu un šādu definīciju: ""hibrīdais sildītājs" ir vienota iekārta vai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kopums, kas konstruēti kā vienota sistēma, kas sastāv no elektriskā siltumsūkņa un apkures katla kā siltuma ģeneratoriem, kā arī no hibrīda sistēmu vadošas automātikas, kas nodrošina optimizētu siltuma ģeneratoru darbību telpu apsildei un, iespējams, ūdens sildīšanai". Hibrīdsistēmas vadības automātika ļauj izvēlēties vispiemērotāko darbības režīmu (t.i., siltuma pieprasījumu sedz siltumsūknis, katls vai abi paralēli) konkrētai ēkai un klimatam, lai prioritāti piešķirtu ekspluatācijas izmaksu un emisiju samazināšanai. Hibrīdsistēmu priekšrocības: tūlītēja un būtiska CO</w:t>
      </w:r>
      <w:r w:rsidR="00000000" w:rsidRPr="00000000" w:rsidDel="00000000">
        <w:rPr>
          <w:vertAlign w:val="subscript"/>
          <w:rtl w:val="0"/>
        </w:rPr>
        <w:t xml:space="preserve">2</w:t>
      </w:r>
      <w:r w:rsidR="00000000" w:rsidRPr="00000000" w:rsidDel="00000000">
        <w:rPr>
          <w:rtl w:val="0"/>
        </w:rPr>
        <w:t xml:space="preserve"> emisiju samazināšana papildinot esošu fosilo apkures sistēmu ar siltumsūkni, kas nosegs lielāko daļu no nepieciešamā apkures pieprasījuma; zemākas sākotnējās izmaksas (investīcijas) salīdzinājumā ar pilnīgu pāreju uz siltumsūkņu sistēmām un nepieciešamajiem ēkas un/vai apkures sistēmas uzlabojumiem (papildus siltināšana, lielāka izmēra radiatoru uzstādīšana vai silto grīdu ierīkošana); mazāka elektrotīkla slodze un pieslēguma jauda — samazināta slodzes nepieciešamība mazākas jaudas siltumsūkņa un papildus elektriskā sildītāja dēļ, kā arī iespēja pārslēgt enerģijas avotus maksimālās slodzes laikā; patērētāju pārliecība — ļauj māju īpašniekiem pierast pie siltumsūkņiem un to darbības principa, vienlaicīgi izmantojot apkures katla sniegto ierasto drošību; mazāk nepieciešamās vietas iekārtu uzstādīšanai — ja ir uzstādīts kombinētais katls, nav nepieciešama karstā ūdens tvertne. Mazāks un, attiecīgi, klusāks siltumsūkņa āra bloks.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u w:val="single"/>
          <w:rtl w:val="0"/>
        </w:rPr>
        <w:t xml:space="preserve">precizēts MK noteikumu Nr. 150 16.6. apakšpunkts</w:t>
      </w:r>
      <w:r w:rsidR="00000000" w:rsidRPr="00000000" w:rsidDel="00000000">
        <w:rPr>
          <w:rtl w:val="0"/>
        </w:rPr>
        <w:t xml:space="preserve">, palielinot elektroenerģijas uzglabāšanas iekārtas (akumulatora) nominālo ietilpību no 5 kWh uz vismaz 10 kWh. Precizējums veikts ņemot vērā līdzšinējo pieredzi un tirgus attīstības dinamiku attiecībā uz šādu iekārtu pieejamību un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u w:val="single"/>
          <w:rtl w:val="0"/>
        </w:rPr>
        <w:t xml:space="preserve">papildināti MK noteikumi Nr. 150 ar jaunu 17.</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kas paredz, ka konkursa ietvaros atbalsts netiek sniegts vietēju apkures ierīču (telpā iebūvēta krāsns, virtuves pavards, vannasistabas krāsns, kamīns, kur sadedzina kurināmo, lai apsildītu telpu, gatavotu ēdienu vai sildītu ūdeni) nomaiņai vai iegādei. Vietējā apkures ierīce ir telpā iebūvēta vai uzstādīta iekārta, kas paredzēta konkrētas telpas vai nelielas ēkas daļas apsildīšanai, sadedzinot kurināmo vai izmantojot citus energoresursus. Atšķirībā no centrālapkures, vietējā ierīce siltumu ražo tieši tajā vietā, kur tas tiek patērēts.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pamatots ar to, ka konkursa mērķis ir panākt būtisku energoefektivitātes uzlabojumu un emisiju samazinājumu visā ēkā, ko visefektīvāk nodrošina centrālapkures sistēmas modernizācija. Vietējās apkures ierīces parasti apsilda tikai vienu telpu vai nelielu ēkas daļu, tādēļ to nomaiņa bieži nesniedz pietiekamu kopējo ietekmi uz ēkas siltumenerģijas patēriņu un nav salīdzināma ar centrālapkures risinājumu ieguvumiem. Papildus tam vietējo apkures ierīču faktiskais emisiju un enerģijas patēriņa efekts ir grūtāk prognozējams un kontrolējams, jo tas lielā mērā atkarīgs no lietotāja paradumiem, kurināmā kvalitātes un ekspluatācijas režīma. Līdz ar to šādu iekārtu atbalstīšana rada lielāku risku, ka netiks sasniegti programmas rezultāti, kā arī var veicināt apkures risinājumu dublēšanu, ja ierīce tiek izmantota tikai kā papildapkure.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u w:val="single"/>
          <w:rtl w:val="0"/>
        </w:rPr>
        <w:t xml:space="preserve">precizēts MK noteikumu Nr. 150 19.1. apakšpunkts,</w:t>
      </w:r>
      <w:r w:rsidR="00000000" w:rsidRPr="00000000" w:rsidDel="00000000">
        <w:rPr>
          <w:rtl w:val="0"/>
        </w:rPr>
        <w:t xml:space="preserve"> ņemot vērā jauno aktivitāti, kas noteikta papildinot MK noteikumus Nr. 150 ar jaunu 16.1.</w:t>
      </w:r>
      <w:r w:rsidR="00000000" w:rsidRPr="00000000" w:rsidDel="00000000">
        <w:rPr>
          <w:vertAlign w:val="superscript"/>
          <w:rtl w:val="0"/>
        </w:rPr>
        <w:t xml:space="preserve">2</w:t>
      </w:r>
      <w:r w:rsidR="00000000" w:rsidRPr="00000000" w:rsidDel="00000000">
        <w:rPr>
          <w:rtl w:val="0"/>
        </w:rPr>
        <w:t xml:space="preserve"> apakšpunktu. Attiecīgi 19.1.apakšpunktā minētais nosacījuims ir piemērojams arī uz šo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b w:val="1"/>
          <w:rtl w:val="0"/>
        </w:rPr>
        <w:t xml:space="preserve"> </w:t>
      </w:r>
      <w:r w:rsidR="00000000" w:rsidRPr="00000000" w:rsidDel="00000000">
        <w:rPr>
          <w:u w:val="single"/>
          <w:rtl w:val="0"/>
        </w:rPr>
        <w:t xml:space="preserve">precizēts MK noteikumu Nr.</w:t>
      </w:r>
      <w:r w:rsidR="00000000" w:rsidRPr="00000000" w:rsidDel="00000000">
        <w:rPr>
          <w:rtl w:val="0"/>
        </w:rPr>
        <w:t xml:space="preserve"> </w:t>
      </w:r>
      <w:r w:rsidR="00000000" w:rsidRPr="00000000" w:rsidDel="00000000">
        <w:rPr>
          <w:u w:val="single"/>
          <w:rtl w:val="0"/>
        </w:rPr>
        <w:t xml:space="preserve">150 24.9. apakšpunkts,</w:t>
      </w:r>
      <w:r w:rsidR="00000000" w:rsidRPr="00000000" w:rsidDel="00000000">
        <w:rPr>
          <w:rtl w:val="0"/>
        </w:rPr>
        <w:t xml:space="preserve"> papildinot to normu par nepieciešamību sniegt ražotāja apliecinājumu par granulu kurināmajam piemērota centrālapkures granulu kamīna atbilstību ekodizaina prasībām attiecībā uz pieļaujamām emisijām un atbilstību noteiktajai energoefektivitātes klasei, papildus jau esošiem nosacījumiem attiecībā uz koksnes biomasas katlu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u w:val="single"/>
          <w:rtl w:val="0"/>
        </w:rPr>
        <w:t xml:space="preserve">precizēts MK noteikumu Nr. 150 52.1. apakšpunkts,</w:t>
      </w:r>
      <w:r w:rsidR="00000000" w:rsidRPr="00000000" w:rsidDel="00000000">
        <w:rPr>
          <w:rtl w:val="0"/>
        </w:rPr>
        <w:t xml:space="preserve"> papildinot to ar tiesību normu, kas paredz, ka šajā apakšpunktā minētās prasības pārbaudei Tiesu administrācija pēc Vides investīciju fonda pieprasījuma sniedz informāciju par zemesgrāmatā nostiprinātajām projekta iesniedzēja īpašuma tiesībām uz MK noteikumu Nr. 150 9.1.1., 9.1.2., 9.1.3., 9.1.4., 9.1.5. un 9.1.16. apakšpunktā minēto dzīvojamo māju vai uz MK noteikumu  Nr. 150 9.1.6., 9.1.7., 9.1.8., 9.1.9. un 9.1.10. apakšpunktā minētās dzīvojamās mājas sastāvā esošo dzīvokļa īpašumu, par kuru šī fiziskā persona iesniedz projekta iesniegumu. Minētā informācija nepieciešama, lai Vides investīciju fonds varētu pārliecināties, ka atbalsta pieprasīšana un saņemšana ir nodrošināma atbilstoši MK noteikumos Nr.150 ietvertā regulējuma tvērumam. Vides investīciju fonds iegūs informāciju par ēkas ierakstīšanu zemesgrāmatā no Valsts Vienotās Datorizētās Zemesgrāmatas reģistra pieslēdzoties no tīmekļa vietnes. Uz doto brīdi ir saņemti 15 706 pieteikumi atbalstam, kuriem visiem ir veikta zemesgrāmatas pārbaude. Gadījumā, ja pārbaudes laikā konstatēts, ka ēkas nav ierakstītas zemesgrāmatā, tad zemesgrāmatas pārbaude tiek veikta atkārtoti. Sagaidāms, ka katru gadu būs vairāk kā 2000 jauni atbalsta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aplūkošana Valsts Vienotās Datorizētās Zemesgrāmatas reģistrā saistīta ar datu apstrādi, Vides investīciju fonds šādu datu apstrādi veiks saskaņā ar Vispārīgās datu aizsardzības regulas 6. panta 1. punkta e) apakšpunktu, kas noteic, ka datu apstrāde ir tiesiska, ja apstrāde ir vajadzīga, lai izpildītu uzdevumu, ko veic sabiedrības interesēs vai īstenojot pārzinim likumīgi piešķirtās oficiālās pilnvaras. Vides investīciju fonds katrā konkrētā gadījumā izvērtē nepieciešamību iegūt informāciju no Valsts Vienotās Datorizētās Zemesgrāmatas reģistra, un īsteno minētās darbības balstoties uz MK noteikumos Nr. 150 noteikto prasību izpildi. Apstrādājot no Valsts Vienotās Datorizētās Zemesgrāmatas reģistra iegūtos datus, Vides investīciju fonds stingri ievēro Vispārīgās datu aizsardzības regulas 5. pantā noteiktos personu datu apstrādes principus. Līdz ar to Vides investīciju fonds nodrošina iegūto datu aizsardzību un rūpīgi izvērtē, vai informācija no Valsts Vienotās Datorizētās Zemesgrāmatas reģistra ir nepieciešama šo datu apstrādes nolūkiem, tādējādi nodrošinot datu minimizēšanas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astotajā daļā noteikts: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Valsts Vienotās Datorizētās Zemesgrāmatas reģistram ne tikai atvieglo Vides investīciju fonda darbu, bet palīdz efektīvāk un ātrāk izvērtēt un objektīvi izskatīt iesniegtos projektu iesniegumus un veikt uzraudzības funkcijas par īstenotajiem projektiem. Ministrijas ieskatā, neatbilstu labas pārvaldības principam un valsts pārvaldes efektivizēšanas principam pieeja, kad Vides investīciju fonds par katru projekta iesniegumu un īstenoto projektu lūgtu sniegt informāciju iesniedzējiem vai izsūtīt nepieciešamo informāciju citām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u w:val="single"/>
          <w:rtl w:val="0"/>
        </w:rPr>
        <w:t xml:space="preserve">precizēts MK noteikumu projekta 52.6. apakšpunkts,</w:t>
      </w:r>
      <w:r w:rsidR="00000000" w:rsidRPr="00000000" w:rsidDel="00000000">
        <w:rPr>
          <w:rtl w:val="0"/>
        </w:rPr>
        <w:t xml:space="preserve"> mazinot administratīvo slogu un iedzīvotājiem iesniedzamo informācijas apjomu, paredzot, ka monitorings nav jāveic un ikgadējs monitoringa pārskats nav jāiesniedz, ja projekta ietvaros ir īstenots projekts attiecībā uz siltumenerģijas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u w:val="single"/>
          <w:rtl w:val="0"/>
        </w:rPr>
        <w:t xml:space="preserve">precizēts MK noteikumu Nr. 150 53. apakšpunkts</w:t>
      </w:r>
      <w:r w:rsidR="00000000" w:rsidRPr="00000000" w:rsidDel="00000000">
        <w:rPr>
          <w:rtl w:val="0"/>
        </w:rPr>
        <w:t xml:space="preserve">, saskaņojot atsauces uz konkursa ietvaros atbalstāmajām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u w:val="single"/>
          <w:rtl w:val="0"/>
        </w:rPr>
        <w:t xml:space="preserve">izteikts MK noteikumu Nr. 150 1. pielikums</w:t>
      </w:r>
      <w:r w:rsidR="00000000" w:rsidRPr="00000000" w:rsidDel="00000000">
        <w:rPr>
          <w:rtl w:val="0"/>
        </w:rPr>
        <w:t xml:space="preserve"> strukturētā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u w:val="single"/>
          <w:rtl w:val="0"/>
        </w:rPr>
        <w:t xml:space="preserve">izteikts MK noteikumu Nr. 150 2. pielikums</w:t>
      </w:r>
      <w:r w:rsidR="00000000" w:rsidRPr="00000000" w:rsidDel="00000000">
        <w:rPr>
          <w:rtl w:val="0"/>
        </w:rPr>
        <w:t xml:space="preserve"> strukturētā veidā, kā arī precizēta 2.2. sadaļas 8. punkts (papildināta izvēles iespēja uz būvi ar klasifikācijas kodu 1272), papildināta 3.1.sadaļa ar jauno aktivitāti "centrālapkures granulu kamīns", precizēta 4. sadaļa ar atsauces punktiem, ņemot vērā plānotos grozījumus MK noteikumos Nr.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u w:val="single"/>
          <w:rtl w:val="0"/>
        </w:rPr>
        <w:t xml:space="preserve">izteikts MK noteikumu Nr. 150 3. pielikums</w:t>
      </w:r>
      <w:r w:rsidR="00000000" w:rsidRPr="00000000" w:rsidDel="00000000">
        <w:rPr>
          <w:rtl w:val="0"/>
        </w:rPr>
        <w:t xml:space="preserve"> strukturētā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palielināsies projekta iesniegumu iesniedzēju loks, kas varēs īstenot konkursa ietvaros atbalstāmās aktivitātes attiecībā uz atjaunojamo energoresursu iekārtu iegādi un pieslēgumu centralizētajai siltumapgādes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SIA "Vides investīciju fonds" palielināsies konkursa ietvaros iesniegto projektu iesniegumu vērtēšanas apjoms un pieņemto lēmuma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atjaunojamo energoresursu iekārtām, kā arī pēc centralizētās siltumapgādes sistēmas modernizācijas - siltummezgla projektēšanas un ierīkošanas.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atjaunojamo energoresursu iekārtu ražošanu, piegādi, uzstādīšanu, apkopi un uzturēšanu un, kas nodarbojas ar centralizētās siltumapgādes sistēmas siltummezgla projektēšanu un pieslēguma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atjaunojamo energoresursu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atjaunojamo energoresursu iekārtu ražošanu, piegādi, uzstādīšanu un apkopi, kā arī centralizētās siltumapgādes sistēmas siltummezgla projektēšanu un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85 000 000 </w:t>
      </w:r>
      <w:r w:rsidR="00000000" w:rsidRPr="00000000" w:rsidDel="00000000">
        <w:rPr>
          <w:i w:val="1"/>
          <w:rtl w:val="0"/>
        </w:rPr>
        <w:t xml:space="preserve">eur</w:t>
      </w:r>
      <w:r w:rsidR="00000000" w:rsidRPr="00000000" w:rsidDel="00000000">
        <w:rPr>
          <w:rtl w:val="0"/>
        </w:rPr>
        <w:t xml:space="preserve">o. Finansējums ieplānots Klimata un enerģētikas ministrijas budžeta programmas 33.00.00. "Emisijas kvotu izsoļu ieņēmumu instrumenti" apakšprogrammā 33.02.00. "Emisijas kvotu izsolīšanas instrumenta projekti". Uz 2026. gada maiju konkursa ietvaros ir iesniegti 15 706 projektu iesniegumi par kopējo pieprasīto EKII finansējumu 59 313 527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Finansējuma saņēmējam pieejamie maksājumi un maksāšanas kārtība ir noteikta MK noteikumu Nr.150 IX. nodaļā.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budžeta izdevumiem, jo netiek mainīts projektu konkursam pieejamais finansējuma apmērs.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_____ līdz ______.</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turpinās veikt SIA “Vides investīciju fonds”.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2021.-2027.gadam šādu progresa indikatoru sasniegšana: [271] Siltumnīcefekta gāzu (SEG) emisiju intensitāte, [273] Gaisa piesārņojuma % samazinājums (izņemot, sniedzot atbalstu biomasas dedzināšanai) un [309] No atjaunojamiem energoresursiem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nodrošināta tādu projektu īstenošana, kas veicina atjaunīgo energoresursu iekārtu izmantošanu un pieslēgšanos centralizētajai siltumapgādes sistēmai, tādejādi nepasliktinot gaisa kvalitāti, it īpaši pilsētās, un negatīvi neietekmējot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 neefektīvu biomasas apkures katlu iegāde un uzstādīšana, kā arī konkursa ietvaros ir atbalstāma biomasas iekārtu iegāde vienlaikus ar citu atjaunīgo energoresursu iekārtu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daudz plašāku atjaunīgo energoresursu iekārtu izmantošanu mājsaimniecībās vai mājsaimniecību pieslēgšanos centralizētajai siltumapgādes sistēmai,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25-TA-3093</w:t>
    </w:r>
    <w:r>
      <w:br/>
    </w:r>
    <w:r w:rsidR="00000000" w:rsidRPr="00000000" w:rsidDel="00000000">
      <w:rPr>
        <w:rtl w:val="0"/>
      </w:rPr>
      <w:t xml:space="preserve">Izdrukāts 29.07.2026. 21.08 - 2.0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25-TA-3093</w:t>
    </w:r>
    <w:r>
      <w:br/>
    </w:r>
    <w:r w:rsidR="00000000" w:rsidRPr="00000000" w:rsidDel="00000000">
      <w:rPr>
        <w:rtl w:val="0"/>
      </w:rPr>
      <w:t xml:space="preserve">Izdrukāts 29.07.2026. 21.08 - 2.0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anotācija_(ex_ante)_25-TA-3093.docx</dc:title>
</cp:coreProperties>
</file>

<file path=docProps/custom.xml><?xml version="1.0" encoding="utf-8"?>
<Properties xmlns="http://schemas.openxmlformats.org/officeDocument/2006/custom-properties" xmlns:vt="http://schemas.openxmlformats.org/officeDocument/2006/docPropsVTypes"/>
</file>