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 valsts budžetu 2026. gadam un budžeta ietvaru 2026., 2027. un 2028. gadam”.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likumā ''Par valsts budžetu 2026. gadam un budžeta ietvaru 2026., 2027. un 2028. gadam'' paredzētā prioritārā pasākuma "Fiksētās piemaksas pārskatīšana ģimenes ārsta praksei par prakses un personāla darbības nodrošināšanu lauku teritorijā" īstenošanu.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tai skaitā primārās veselības aprūpes, finansēšanas un organizēšanas kārtību nosaka Ministru kabineta 2018. gada 28. augusta noteikumi Nr. 555 "Veselības aprūpes pakalpojumu organizēšanas un samaksas kārtība" (turpmāk – Noteikumi Nr. 555). Saskaņā ar Noteikumu Nr. 555 11. pielikuma "Primārās veselības aprūpes finansējuma plānošana" 11. punktu šobrīd ģimenes ārsta praksei par prakses un personāla darbības nodrošināšanu lauku teritorijā maksā ikmēneša fiksēto maksājumu atkarībā no ģimenes ārsta darbības pamatteritorijas iedzīvotāju blīvuma un reģistrēto pacientu skaita.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Līdzšinējie atbalsta mehānismi ģimenes ārstu praksēm nav īstenojuši noturīgas primārās veselības aprūpes mērķus reģionos. Esošais lauku piemaksas finansējuma modelis neatspoguļo reālos darba apstākļus lauku teritorijās un nemotivē ģimenes ārstu sniegt pakalpojumus attālākos reģionos (piemēram, šobrīd lauku piemaksa ģimenes ārsta praksei 60 km un 200 km attālumā no galvaspilsētas var neatšķirties, ja iedzīvotāju blīvums teritorijā ir vienāds).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saskaņā ar likumā ''Par valsts budžetu 2026. gadam un budžeta ietvaru 2026., 2027. un 2028. gadam'' paredzēto prioritāro pasākumu "Fiksētās piemaksas pārskatīšana ģimenes ārsta praksei par prakses un personāla darbības nodrošināšanu lauku teritorijā" Ministru kabineta noteikumu projekts "Grozījums Ministru kabineta 2018. gada 28. augusta noteikumos Nr. 555 "Veselības aprūpes pakalpojumu organizēšanas un samaksas kārtība"" (turpmāk - Noteikumu projekts) paredz pāreju uz pilnveidotu apmaksas modeli, ieviešot samaksu par darbu lauku teritorijā, kas diferencēta ne tikai pēc iedzīvotāju blīvuma, bet arī pēc prakses attāluma līdz tuvākajai klīniskajai universitātes slimnīcai, vienlaikus ņemot vērā prakses noslodzi (</w:t>
      </w:r>
      <w:r w:rsidR="00000000" w:rsidRPr="00000000" w:rsidDel="00000000">
        <w:rPr>
          <w:b w:val="1"/>
          <w:rtl w:val="0"/>
        </w:rPr>
        <w:t xml:space="preserve">Noteikumu projekta 3.</w:t>
      </w:r>
      <w:r w:rsidR="00000000" w:rsidRPr="00000000" w:rsidDel="00000000">
        <w:rPr>
          <w:rtl w:val="0"/>
        </w:rPr>
        <w:t xml:space="preserve"> </w:t>
      </w:r>
      <w:r w:rsidR="00000000" w:rsidRPr="00000000" w:rsidDel="00000000">
        <w:rPr>
          <w:b w:val="1"/>
          <w:rtl w:val="0"/>
        </w:rPr>
        <w:t xml:space="preserve">punkts</w:t>
      </w:r>
      <w:r w:rsidR="00000000" w:rsidRPr="00000000" w:rsidDel="00000000">
        <w:rPr>
          <w:rtl w:val="0"/>
        </w:rPr>
        <w:t xml:space="preserve">, kas paredz izmaiņas Noteikumu Nr. 555 11. pielikuma "Primārās veselības aprūpes finansējuma plānošana" 11. punktā un atbilstoši tam - tehniskus grozījumus šī pielikuma 13. punktā). Attāluma kritērija iekļaušana apmaksas modelī ļauj objektīvāk ņemt vērā apstākļus, kas ietekmē attālākos reģionos strādājošas ģimenes ārstu prakses (attāluma piemaksa būs atkarīga no ģimenes ārsta prakses noslodzes rādītāja, kas strukturēts divās atsevišķās daļās: 1) ģimenes ārstu prakses vidējais klātienes apmeklējumu skaits darba dienā ir lielāks par 75%; 2) ģimenes ārstu prakses reģistrēto pacientu aptvere vecuma grupās 12-17 gadi un 65+ ir lielāka par 85%).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jaunā piemaksas kārtība palielinās ģimenes ārstu noturību un piesaisti reģioniem, lai nodrošinātu primārās veselības aprūpes pakalpojumu pieejamību iedzīvotājiem Latvijas reģionos, vienlaikus stiprinot ģimenes ārstu prakšu ilgtspēju.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Noteikumu projekts paredz pārejas regulējumu ikmēneša fiksētās piemaksas par prakses un personāla darbības nodrošināšanu lauku teritorijā aprēķināšanai 2026. gadā un 2027. gadā, kas saistīts ar pasākuma īstenošanai pieejamo finansējumu, kā arī tās izmaksas kārtībai par 2026. gada janvāri un februāri, nodrošinot tiesiskās paļāvības principa ievērošanu </w:t>
      </w:r>
      <w:r w:rsidR="00000000" w:rsidRPr="00000000" w:rsidDel="00000000">
        <w:rPr>
          <w:b w:val="1"/>
          <w:rtl w:val="0"/>
        </w:rPr>
        <w:t xml:space="preserve">(Noteikumu projekta 1. un 2.</w:t>
      </w:r>
      <w:r w:rsidR="00000000" w:rsidRPr="00000000" w:rsidDel="00000000">
        <w:rPr>
          <w:rtl w:val="0"/>
        </w:rPr>
        <w:t xml:space="preserve"> </w:t>
      </w:r>
      <w:r w:rsidR="00000000" w:rsidRPr="00000000" w:rsidDel="00000000">
        <w:rPr>
          <w:b w:val="1"/>
          <w:rtl w:val="0"/>
        </w:rPr>
        <w:t xml:space="preserve">punkts)</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ārstu prakses, kurām ir līgums ar Nacionālo veselības dienestu par valsts apmaksāto veselības aprūpes pakalpojumu sniegšanu un kuras kvalificējas fiksētās piemaksas saņemšanai par prakses un personāla darbības nodrošināšanu lauku teritorijā.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-3 778 064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-3 678 064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Nr. 555 287. punkts (Noteikumu projekta 1. punkts), 288. punkts (Noteikumu projekta 2. punkts) un 11. pielikuma 11. un 13. punkts (Noteikumu projekta 3. punkts) paredz pāreju uz pilnveidotu apmaksas modeli, ieviešot samaksu par darbu lauku teritorijā, kas diferencēta ne tikai pēc iedzīvotāju blīvuma, bet arī pēc prakses attāluma līdz tuvākajai klīniskajai universitātes slimnīcai, vienlaikus ņemot vērā prakses noslodzi. </w:t>
            </w:r>
            <w:r w:rsidR="00000000" w:rsidRPr="00000000" w:rsidDel="00000000">
              <w:rPr>
                <w:sz w:val="24"/>
                <w:i w:val="1"/>
                <w:rtl w:val="0"/>
              </w:rPr>
              <w:t xml:space="preserve">Iepriekš minētais pasākums īstenojams apakšprogrammas 33.14.00 “Primārās ambulatorās veselības aprūpes nodrošināšana” ietvaros</w:t>
            </w:r>
            <w:r w:rsidR="00000000" w:rsidRPr="00000000" w:rsidDel="00000000">
              <w:rPr>
                <w:sz w:val="24"/>
                <w:rtl w:val="0"/>
              </w:rPr>
              <w:t xml:space="preserve">. Finansējums 2026. gadam </w:t>
            </w:r>
            <w:r w:rsidR="00000000" w:rsidRPr="00000000" w:rsidDel="00000000">
              <w:rPr>
                <w:sz w:val="24"/>
                <w:b w:val="1"/>
                <w:rtl w:val="0"/>
              </w:rPr>
              <w:t xml:space="preserve">4 800 000</w:t>
            </w:r>
            <w:r w:rsidR="00000000" w:rsidRPr="00000000" w:rsidDel="00000000">
              <w:rPr>
                <w:sz w:val="24"/>
                <w:b w:val="1"/>
                <w:i w:val="1"/>
                <w:rtl w:val="0"/>
              </w:rPr>
              <w:t xml:space="preserve"> euro</w:t>
            </w:r>
            <w:r w:rsidR="00000000" w:rsidRPr="00000000" w:rsidDel="00000000">
              <w:rPr>
                <w:sz w:val="24"/>
                <w:rtl w:val="0"/>
              </w:rPr>
              <w:t xml:space="preserve">, 2027. gadam </w:t>
            </w:r>
            <w:r w:rsidR="00000000" w:rsidRPr="00000000" w:rsidDel="00000000">
              <w:rPr>
                <w:sz w:val="24"/>
                <w:b w:val="1"/>
                <w:rtl w:val="0"/>
              </w:rPr>
              <w:t xml:space="preserve">3 778 064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un</w:t>
            </w:r>
            <w:r w:rsidR="00000000" w:rsidRPr="00000000" w:rsidDel="00000000">
              <w:rPr>
                <w:sz w:val="24"/>
                <w:b w:val="1"/>
                <w:rtl w:val="0"/>
              </w:rPr>
              <w:t xml:space="preserve"> </w:t>
            </w:r>
            <w:r w:rsidR="00000000" w:rsidRPr="00000000" w:rsidDel="00000000">
              <w:rPr>
                <w:sz w:val="24"/>
                <w:rtl w:val="0"/>
              </w:rPr>
              <w:t xml:space="preserve">2028. gadā</w:t>
            </w:r>
            <w:r w:rsidR="00000000" w:rsidRPr="00000000" w:rsidDel="00000000">
              <w:rPr>
                <w:sz w:val="24"/>
                <w:b w:val="1"/>
                <w:rtl w:val="0"/>
              </w:rPr>
              <w:t xml:space="preserve"> </w:t>
            </w:r>
            <w:r w:rsidR="00000000" w:rsidRPr="00000000" w:rsidDel="00000000">
              <w:rPr>
                <w:sz w:val="24"/>
                <w:rtl w:val="0"/>
              </w:rPr>
              <w:t xml:space="preserve">un turpmāk ik gadu</w:t>
            </w:r>
            <w:r w:rsidR="00000000" w:rsidRPr="00000000" w:rsidDel="00000000">
              <w:rPr>
                <w:sz w:val="24"/>
                <w:b w:val="1"/>
                <w:rtl w:val="0"/>
              </w:rPr>
              <w:t xml:space="preserve"> 3 678 064 </w:t>
            </w:r>
            <w:r w:rsidR="00000000" w:rsidRPr="00000000" w:rsidDel="00000000">
              <w:rPr>
                <w:sz w:val="24"/>
                <w:b w:val="1"/>
                <w:i w:val="1"/>
                <w:rtl w:val="0"/>
              </w:rPr>
              <w:t xml:space="preserve">euro</w:t>
            </w:r>
            <w:r w:rsidR="00000000" w:rsidRPr="00000000" w:rsidDel="00000000">
              <w:rPr>
                <w:sz w:val="24"/>
                <w:rtl w:val="0"/>
              </w:rPr>
              <w:t xml:space="preserve">, kurš tika atbalstīts 2026. - 2028.gada prioritārā pasākuma “Fiksētās piemaksas pārskatīšana ģimenes ārsta praksei par prakses un personāla darbības nodrošināšanu lauku teritorijā” ietvaros, skat., anotācijas 1. - 4.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2026.gadā ir </w:t>
            </w:r>
            <w:r w:rsidR="00000000" w:rsidRPr="00000000" w:rsidDel="00000000">
              <w:rPr>
                <w:sz w:val="24"/>
                <w:b w:val="1"/>
                <w:rtl w:val="0"/>
              </w:rPr>
              <w:t xml:space="preserve">4 800 000 </w:t>
            </w:r>
            <w:r w:rsidR="00000000" w:rsidRPr="00000000" w:rsidDel="00000000">
              <w:rPr>
                <w:sz w:val="24"/>
                <w:b w:val="1"/>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4 800 000</w:t>
            </w:r>
            <w:r w:rsidR="00000000" w:rsidRPr="00000000" w:rsidDel="00000000">
              <w:rPr>
                <w:sz w:val="24"/>
                <w:i w:val="1"/>
                <w:rtl w:val="0"/>
              </w:rPr>
              <w:t xml:space="preserve"> euro</w:t>
            </w:r>
            <w:r w:rsidR="00000000" w:rsidRPr="00000000" w:rsidDel="00000000">
              <w:rPr>
                <w:sz w:val="24"/>
                <w:rtl w:val="0"/>
              </w:rPr>
              <w:t xml:space="preserve"> apmērā prioritāro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2027.gadā ir </w:t>
            </w:r>
            <w:r w:rsidR="00000000" w:rsidRPr="00000000" w:rsidDel="00000000">
              <w:rPr>
                <w:sz w:val="24"/>
                <w:b w:val="1"/>
                <w:rtl w:val="0"/>
              </w:rPr>
              <w:t xml:space="preserve">3 778 064 </w:t>
            </w:r>
            <w:r w:rsidR="00000000" w:rsidRPr="00000000" w:rsidDel="00000000">
              <w:rPr>
                <w:sz w:val="24"/>
                <w:b w:val="1"/>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3 778 064 </w:t>
            </w:r>
            <w:r w:rsidR="00000000" w:rsidRPr="00000000" w:rsidDel="00000000">
              <w:rPr>
                <w:sz w:val="24"/>
                <w:i w:val="1"/>
                <w:rtl w:val="0"/>
              </w:rPr>
              <w:t xml:space="preserve">euro</w:t>
            </w:r>
            <w:r w:rsidR="00000000" w:rsidRPr="00000000" w:rsidDel="00000000">
              <w:rPr>
                <w:sz w:val="24"/>
                <w:rtl w:val="0"/>
              </w:rPr>
              <w:t xml:space="preserve"> apmērā prioritāro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2028.gadā un turpmāk ik gadu ir </w:t>
            </w:r>
            <w:r w:rsidR="00000000" w:rsidRPr="00000000" w:rsidDel="00000000">
              <w:rPr>
                <w:sz w:val="24"/>
                <w:b w:val="1"/>
                <w:rtl w:val="0"/>
              </w:rPr>
              <w:t xml:space="preserve">3 678 064 </w:t>
            </w:r>
            <w:r w:rsidR="00000000" w:rsidRPr="00000000" w:rsidDel="00000000">
              <w:rPr>
                <w:sz w:val="24"/>
                <w:b w:val="1"/>
                <w:i w:val="1"/>
                <w:rtl w:val="0"/>
              </w:rPr>
              <w:t xml:space="preserve">euro</w:t>
            </w:r>
            <w:r w:rsidR="00000000" w:rsidRPr="00000000" w:rsidDel="00000000">
              <w:rPr>
                <w:sz w:val="24"/>
                <w:b w:val="1"/>
                <w:rtl w:val="0"/>
              </w:rPr>
              <w:t xml:space="preserve">,</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3 678 064</w:t>
            </w:r>
            <w:r w:rsidR="00000000" w:rsidRPr="00000000" w:rsidDel="00000000">
              <w:rPr>
                <w:sz w:val="24"/>
                <w:i w:val="1"/>
                <w:rtl w:val="0"/>
              </w:rPr>
              <w:t xml:space="preserve"> euro </w:t>
            </w:r>
            <w:r w:rsidR="00000000" w:rsidRPr="00000000" w:rsidDel="00000000">
              <w:rPr>
                <w:sz w:val="24"/>
                <w:rtl w:val="0"/>
              </w:rPr>
              <w:t xml:space="preserve">apmērā prioritāro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prioritārā pasākuma “Fiksētās piemaksas pārskatīšana ģimenes ārsta praksei par prakses un personāla darbības nodrošināšanu lauku teritorijā” ir iestrādāts likumā “Par valsts budžetu 2026.gadam un budžeta ietvaru 2026., 2027. un 2028.gadam” (2025.gada 4.decembrī 2.lasījums).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2024.gada 15.oktobra noteikumu Nr.639 "Sabiedrības līdzdalības kārtība attīstības plānošanas procesā" 4.punktu sabiedrības līdzdalību īsteno attīstības plānošanas dokumentu projektu, kā arī tiesību aktu projektu izstrādē un citās sabiedrībai nozīmīgās iniciatīvās un procesos, it īpaši reformu izstrādes un īstenošanas procesā un publiskā finansējuma plānošanā.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Konkrētajā gadījumā Noteikumu projekts paredz likumā "Par valsts budžetu 2026. gadam un budžeta ietvaru 2026., 2027. un 2028. gadam” ietvertā pasākuma īstenošanu, proti, lai ieviestu Saeimā jau pieņemtu politisko lēmumu par finansējuma piešķiršanu konkrētiem mērķiem, tam nav būtiskas ietekmes uz sabiedrībai nozīmīgām iniciatīvām un procesiem.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pasākumus, lai veicinātu primārās veselības aprūpes pakalpojumu (ģimenes ārstu) pieejamību lauku teritorijās.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26-TA-237</w:t>
    </w:r>
    <w:r>
      <w:br/>
    </w:r>
    <w:r w:rsidR="00000000" w:rsidRPr="00000000" w:rsidDel="00000000">
      <w:rPr>
        <w:rtl w:val="0"/>
      </w:rPr>
      <w:t xml:space="preserve">Izdrukāts 29.07.2026. 21.45 - 2.0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26-TA-237</w:t>
    </w:r>
    <w:r>
      <w:br/>
    </w:r>
    <w:r w:rsidR="00000000" w:rsidRPr="00000000" w:rsidDel="00000000">
      <w:rPr>
        <w:rtl w:val="0"/>
      </w:rPr>
      <w:t xml:space="preserve">Izdrukāts 29.07.2026. 21.45 - 2.0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anotācija_(ex_ante)_26-TA-237.docx</dc:title>
</cp:coreProperties>
</file>

<file path=docProps/custom.xml><?xml version="1.0" encoding="utf-8"?>
<Properties xmlns="http://schemas.openxmlformats.org/officeDocument/2006/custom-properties" xmlns:vt="http://schemas.openxmlformats.org/officeDocument/2006/docPropsVTypes"/>
</file>